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F3E2C" w14:textId="77777777" w:rsidR="00807272" w:rsidRDefault="00807272">
      <w:pPr>
        <w:tabs>
          <w:tab w:val="center" w:pos="4153"/>
          <w:tab w:val="right" w:pos="8306"/>
        </w:tabs>
        <w:rPr>
          <w:lang w:val="en-GB"/>
        </w:rPr>
      </w:pPr>
    </w:p>
    <w:p w14:paraId="5D7F3E2D" w14:textId="77777777" w:rsidR="00807272" w:rsidRDefault="00E27D34">
      <w:pPr>
        <w:jc w:val="center"/>
        <w:rPr>
          <w:b/>
          <w:color w:val="000000"/>
        </w:rPr>
      </w:pPr>
      <w:r>
        <w:rPr>
          <w:b/>
          <w:color w:val="000000"/>
          <w:lang w:eastAsia="lt-LT"/>
        </w:rPr>
        <w:pict w14:anchorId="5D7F3EA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5D7F3E2E" w14:textId="77777777" w:rsidR="00807272" w:rsidRDefault="00807272">
      <w:pPr>
        <w:jc w:val="center"/>
        <w:rPr>
          <w:color w:val="000000"/>
        </w:rPr>
      </w:pPr>
    </w:p>
    <w:p w14:paraId="5D7F3E2F" w14:textId="77777777" w:rsidR="00807272" w:rsidRDefault="00E27D34">
      <w:pPr>
        <w:jc w:val="center"/>
        <w:rPr>
          <w:b/>
          <w:color w:val="000000"/>
        </w:rPr>
      </w:pPr>
      <w:r>
        <w:rPr>
          <w:b/>
          <w:color w:val="000000"/>
        </w:rPr>
        <w:t>N U T A R I M A S</w:t>
      </w:r>
    </w:p>
    <w:p w14:paraId="5D7F3E30" w14:textId="77777777" w:rsidR="00807272" w:rsidRDefault="00E27D34">
      <w:pPr>
        <w:jc w:val="center"/>
        <w:rPr>
          <w:b/>
          <w:color w:val="000000"/>
        </w:rPr>
      </w:pPr>
      <w:r>
        <w:rPr>
          <w:b/>
          <w:color w:val="000000"/>
        </w:rPr>
        <w:t>DĖL LIETUVOS RESPUBLIKOS VYRIAUSYBĖS 1993 M. LIEPOS 8 D. NUTARIMO NR. 511 „DĖL BIUDŽETINIŲ ĮSTAIGŲ IR ORGANIZACIJŲ DARBUOTOJŲ DARBO APMOKĖJIMO TVARKOS TOBULINIMO“ PAKEITI</w:t>
      </w:r>
      <w:r>
        <w:rPr>
          <w:b/>
          <w:color w:val="000000"/>
        </w:rPr>
        <w:t>MO</w:t>
      </w:r>
    </w:p>
    <w:p w14:paraId="5D7F3E31" w14:textId="77777777" w:rsidR="00807272" w:rsidRDefault="00807272">
      <w:pPr>
        <w:jc w:val="center"/>
        <w:rPr>
          <w:color w:val="000000"/>
        </w:rPr>
      </w:pPr>
    </w:p>
    <w:p w14:paraId="5D7F3E32" w14:textId="77777777" w:rsidR="00807272" w:rsidRDefault="00E27D34">
      <w:pPr>
        <w:jc w:val="center"/>
        <w:rPr>
          <w:color w:val="000000"/>
        </w:rPr>
      </w:pPr>
      <w:r>
        <w:rPr>
          <w:color w:val="000000"/>
        </w:rPr>
        <w:t>2004 m. balandžio 14 d. Nr. 411</w:t>
      </w:r>
    </w:p>
    <w:p w14:paraId="5D7F3E33" w14:textId="77777777" w:rsidR="00807272" w:rsidRDefault="00E27D34">
      <w:pPr>
        <w:jc w:val="center"/>
        <w:rPr>
          <w:color w:val="000000"/>
        </w:rPr>
      </w:pPr>
      <w:r>
        <w:rPr>
          <w:color w:val="000000"/>
        </w:rPr>
        <w:t>Vilnius</w:t>
      </w:r>
    </w:p>
    <w:p w14:paraId="5D7F3E34" w14:textId="77777777" w:rsidR="00807272" w:rsidRDefault="00807272">
      <w:pPr>
        <w:jc w:val="center"/>
        <w:rPr>
          <w:color w:val="000000"/>
        </w:rPr>
      </w:pPr>
    </w:p>
    <w:p w14:paraId="5D7F3E35" w14:textId="77777777" w:rsidR="00807272" w:rsidRDefault="00E27D34">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14:paraId="5D7F3E36" w14:textId="77777777" w:rsidR="00807272" w:rsidRDefault="00E27D34">
      <w:pPr>
        <w:ind w:firstLine="709"/>
        <w:jc w:val="both"/>
        <w:rPr>
          <w:color w:val="000000"/>
        </w:rPr>
      </w:pPr>
      <w:r>
        <w:rPr>
          <w:color w:val="000000"/>
        </w:rPr>
        <w:t xml:space="preserve">Pakeisti Lietuvos Respublikos Vyriausybės 1993 m. liepos 8 d. nutarimą Nr. 511 „Dėl biudžetinių įstaigų ir organizacijų darbuotojų darbo apmokėjimo tvarkos tobulinimo“ </w:t>
      </w:r>
      <w:r>
        <w:rPr>
          <w:color w:val="000000"/>
        </w:rPr>
        <w:t xml:space="preserve">(Žin., 1993, Nr. </w:t>
      </w:r>
      <w:hyperlink r:id="rId10" w:tgtFrame="_blank" w:history="1">
        <w:r>
          <w:rPr>
            <w:color w:val="0000FF" w:themeColor="hyperlink"/>
            <w:u w:val="single"/>
          </w:rPr>
          <w:t>28-655</w:t>
        </w:r>
      </w:hyperlink>
      <w:r>
        <w:rPr>
          <w:color w:val="000000"/>
        </w:rPr>
        <w:t xml:space="preserve">; 1997, Nr. </w:t>
      </w:r>
      <w:hyperlink r:id="rId11" w:tgtFrame="_blank" w:history="1">
        <w:r>
          <w:rPr>
            <w:color w:val="0000FF" w:themeColor="hyperlink"/>
            <w:u w:val="single"/>
          </w:rPr>
          <w:t>33-834</w:t>
        </w:r>
      </w:hyperlink>
      <w:r>
        <w:rPr>
          <w:color w:val="000000"/>
        </w:rPr>
        <w:t xml:space="preserve">; 1998, Nr. </w:t>
      </w:r>
      <w:hyperlink r:id="rId12" w:tgtFrame="_blank" w:history="1">
        <w:r>
          <w:rPr>
            <w:color w:val="0000FF" w:themeColor="hyperlink"/>
            <w:u w:val="single"/>
          </w:rPr>
          <w:t>70-2047</w:t>
        </w:r>
      </w:hyperlink>
      <w:r>
        <w:rPr>
          <w:color w:val="000000"/>
        </w:rPr>
        <w:t xml:space="preserve">; 1999, Nr. </w:t>
      </w:r>
      <w:hyperlink r:id="rId13" w:tgtFrame="_blank" w:history="1">
        <w:r>
          <w:rPr>
            <w:color w:val="0000FF" w:themeColor="hyperlink"/>
            <w:u w:val="single"/>
          </w:rPr>
          <w:t>5-103</w:t>
        </w:r>
      </w:hyperlink>
      <w:r>
        <w:rPr>
          <w:color w:val="000000"/>
        </w:rPr>
        <w:t>):</w:t>
      </w:r>
    </w:p>
    <w:p w14:paraId="5D7F3E37" w14:textId="77777777" w:rsidR="00807272" w:rsidRDefault="00E27D34">
      <w:pPr>
        <w:ind w:firstLine="709"/>
        <w:jc w:val="both"/>
        <w:rPr>
          <w:color w:val="000000"/>
        </w:rPr>
      </w:pPr>
      <w:r>
        <w:rPr>
          <w:color w:val="000000"/>
        </w:rPr>
        <w:t>1</w:t>
      </w:r>
      <w:r>
        <w:rPr>
          <w:color w:val="000000"/>
        </w:rPr>
        <w:t>. Išdėstyti 4 punkto trečiąją pastraipą taip:</w:t>
      </w:r>
    </w:p>
    <w:p w14:paraId="5D7F3E38" w14:textId="77777777" w:rsidR="00807272" w:rsidRDefault="00E27D34">
      <w:pPr>
        <w:ind w:firstLine="709"/>
        <w:jc w:val="both"/>
        <w:rPr>
          <w:color w:val="000000"/>
        </w:rPr>
      </w:pPr>
      <w:r>
        <w:rPr>
          <w:color w:val="000000"/>
        </w:rPr>
        <w:t>„Nacionalinių ir valstybinių kultūros ir meno įstaigų vadovams ga</w:t>
      </w:r>
      <w:r>
        <w:rPr>
          <w:color w:val="000000"/>
        </w:rPr>
        <w:t>li būti nustatomi iki 2 tarnybinių atlyginimų dydžio personaliniai priedai. Šie priedai mokami Kultūros ministerijos nustatyta tvarka, suderinta su Finansų ministerija ir Socialinės apsaugos ir darbo ministerija.“.</w:t>
      </w:r>
    </w:p>
    <w:p w14:paraId="5D7F3E39" w14:textId="77777777" w:rsidR="00807272" w:rsidRDefault="00E27D34">
      <w:pPr>
        <w:ind w:firstLine="709"/>
        <w:jc w:val="both"/>
        <w:rPr>
          <w:color w:val="000000"/>
        </w:rPr>
      </w:pPr>
      <w:r>
        <w:rPr>
          <w:color w:val="000000"/>
        </w:rPr>
        <w:t>2</w:t>
      </w:r>
      <w:r>
        <w:rPr>
          <w:color w:val="000000"/>
        </w:rPr>
        <w:t>. Išdėstyti 1 priedą nauja redak</w:t>
      </w:r>
      <w:r>
        <w:rPr>
          <w:color w:val="000000"/>
        </w:rPr>
        <w:t>cija (pridedama).</w:t>
      </w:r>
    </w:p>
    <w:p w14:paraId="5D7F3E3A" w14:textId="77777777" w:rsidR="00807272" w:rsidRDefault="00807272">
      <w:pPr>
        <w:ind w:firstLine="709"/>
        <w:jc w:val="both"/>
        <w:rPr>
          <w:color w:val="000000"/>
        </w:rPr>
      </w:pPr>
    </w:p>
    <w:p w14:paraId="51F4EAB7" w14:textId="77777777" w:rsidR="00E27D34" w:rsidRDefault="00E27D34">
      <w:pPr>
        <w:ind w:firstLine="709"/>
        <w:jc w:val="both"/>
        <w:rPr>
          <w:color w:val="000000"/>
        </w:rPr>
      </w:pPr>
    </w:p>
    <w:p w14:paraId="5D7F3E3B" w14:textId="77777777" w:rsidR="00807272" w:rsidRDefault="00E27D34">
      <w:pPr>
        <w:ind w:firstLine="709"/>
        <w:jc w:val="both"/>
        <w:rPr>
          <w:color w:val="000000"/>
        </w:rPr>
      </w:pPr>
    </w:p>
    <w:p w14:paraId="5D7F3E3C" w14:textId="77777777" w:rsidR="00807272" w:rsidRDefault="00E27D34">
      <w:pPr>
        <w:tabs>
          <w:tab w:val="right" w:pos="9639"/>
        </w:tabs>
        <w:rPr>
          <w:caps/>
        </w:rPr>
      </w:pPr>
      <w:r>
        <w:rPr>
          <w:caps/>
        </w:rPr>
        <w:t xml:space="preserve">ŪKIO MINISTRAS, </w:t>
      </w:r>
    </w:p>
    <w:p w14:paraId="5D7F3E3D" w14:textId="77777777" w:rsidR="00807272" w:rsidRDefault="00E27D34">
      <w:pPr>
        <w:tabs>
          <w:tab w:val="right" w:pos="9639"/>
        </w:tabs>
        <w:rPr>
          <w:caps/>
        </w:rPr>
      </w:pPr>
      <w:r>
        <w:rPr>
          <w:caps/>
        </w:rPr>
        <w:t>PAVADUOJANTIS MINISTRĄ PIRMININKĄ</w:t>
      </w:r>
      <w:r>
        <w:rPr>
          <w:caps/>
        </w:rPr>
        <w:tab/>
        <w:t>PETRAS ČĖSNA</w:t>
      </w:r>
    </w:p>
    <w:p w14:paraId="5D7F3E3E" w14:textId="77777777" w:rsidR="00807272" w:rsidRDefault="00807272">
      <w:pPr>
        <w:tabs>
          <w:tab w:val="right" w:pos="9639"/>
        </w:tabs>
        <w:rPr>
          <w:caps/>
        </w:rPr>
      </w:pPr>
    </w:p>
    <w:p w14:paraId="3BDD6278" w14:textId="77777777" w:rsidR="00E27D34" w:rsidRDefault="00E27D34">
      <w:pPr>
        <w:tabs>
          <w:tab w:val="right" w:pos="9639"/>
        </w:tabs>
        <w:rPr>
          <w:caps/>
        </w:rPr>
      </w:pPr>
    </w:p>
    <w:p w14:paraId="37177654" w14:textId="77777777" w:rsidR="00E27D34" w:rsidRDefault="00E27D34">
      <w:pPr>
        <w:tabs>
          <w:tab w:val="right" w:pos="9639"/>
        </w:tabs>
        <w:rPr>
          <w:caps/>
        </w:rPr>
      </w:pPr>
    </w:p>
    <w:p w14:paraId="5D7F3E3F" w14:textId="77777777" w:rsidR="00807272" w:rsidRDefault="00E27D34">
      <w:pPr>
        <w:tabs>
          <w:tab w:val="right" w:pos="9639"/>
        </w:tabs>
        <w:rPr>
          <w:caps/>
        </w:rPr>
      </w:pPr>
      <w:r>
        <w:rPr>
          <w:caps/>
        </w:rPr>
        <w:t>SOCIALINĖS APSAUGOS IR DARBO MINISTRĖ</w:t>
      </w:r>
      <w:r>
        <w:rPr>
          <w:caps/>
        </w:rPr>
        <w:tab/>
        <w:t>VILIJA BLINKEVIČIŪTĖ</w:t>
      </w:r>
    </w:p>
    <w:p w14:paraId="5D7F3E40" w14:textId="409291EC" w:rsidR="00807272" w:rsidRDefault="00E27D34">
      <w:pPr>
        <w:jc w:val="center"/>
        <w:rPr>
          <w:color w:val="000000"/>
        </w:rPr>
      </w:pPr>
    </w:p>
    <w:p w14:paraId="77795743" w14:textId="488CD8FF" w:rsidR="00E27D34" w:rsidRDefault="00E27D34">
      <w:pPr>
        <w:ind w:firstLine="5103"/>
        <w:sectPr w:rsidR="00E27D34">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pPr>
    </w:p>
    <w:p w14:paraId="5D7F3E41" w14:textId="749AF36B" w:rsidR="00807272" w:rsidRDefault="00E27D34">
      <w:pPr>
        <w:ind w:firstLine="5103"/>
      </w:pPr>
      <w:r>
        <w:lastRenderedPageBreak/>
        <w:t>Lietuvos Respublikos Vyriausybės</w:t>
      </w:r>
    </w:p>
    <w:p w14:paraId="5D7F3E42" w14:textId="77777777" w:rsidR="00807272" w:rsidRDefault="00E27D34">
      <w:pPr>
        <w:ind w:firstLine="5103"/>
      </w:pPr>
      <w:r>
        <w:t>1993 m. liepos 8 d. nutarimo Nr. 511</w:t>
      </w:r>
    </w:p>
    <w:p w14:paraId="5D7F3E43" w14:textId="77777777" w:rsidR="00807272" w:rsidRDefault="00E27D34">
      <w:pPr>
        <w:ind w:firstLine="5103"/>
      </w:pPr>
      <w:r>
        <w:t>1</w:t>
      </w:r>
      <w:r>
        <w:t xml:space="preserve"> PRIEDAS</w:t>
      </w:r>
    </w:p>
    <w:p w14:paraId="5D7F3E44" w14:textId="77777777" w:rsidR="00807272" w:rsidRDefault="00E27D34">
      <w:pPr>
        <w:ind w:firstLine="5103"/>
      </w:pPr>
      <w:r>
        <w:t xml:space="preserve">(Lietuvos Respublikos Vyriausybės </w:t>
      </w:r>
    </w:p>
    <w:p w14:paraId="5D7F3E45" w14:textId="77777777" w:rsidR="00807272" w:rsidRDefault="00E27D34">
      <w:pPr>
        <w:ind w:firstLine="5103"/>
      </w:pPr>
      <w:r>
        <w:t xml:space="preserve">2004 m. balandžio 14 d. nutarimo Nr. 411 </w:t>
      </w:r>
    </w:p>
    <w:p w14:paraId="5D7F3E46" w14:textId="77777777" w:rsidR="00807272" w:rsidRDefault="00E27D34">
      <w:pPr>
        <w:ind w:firstLine="5103"/>
      </w:pPr>
      <w:r>
        <w:t>redakcija)</w:t>
      </w:r>
    </w:p>
    <w:p w14:paraId="5D7F3E47" w14:textId="77777777" w:rsidR="00807272" w:rsidRDefault="00807272">
      <w:pPr>
        <w:ind w:firstLine="709"/>
        <w:rPr>
          <w:color w:val="000000"/>
        </w:rPr>
      </w:pPr>
    </w:p>
    <w:p w14:paraId="5D7F3E48" w14:textId="77777777" w:rsidR="00807272" w:rsidRDefault="00E27D34">
      <w:pPr>
        <w:jc w:val="center"/>
        <w:rPr>
          <w:b/>
          <w:color w:val="000000"/>
        </w:rPr>
      </w:pPr>
      <w:r>
        <w:rPr>
          <w:b/>
          <w:color w:val="000000"/>
        </w:rPr>
        <w:t>BIUDŽETINIŲ ĮSTAIGŲ IR ORGANIZACIJŲ DARBUOTOJŲ TARNYBINIAI</w:t>
      </w:r>
    </w:p>
    <w:p w14:paraId="5D7F3E49" w14:textId="77777777" w:rsidR="00807272" w:rsidRDefault="00E27D34">
      <w:pPr>
        <w:jc w:val="center"/>
        <w:rPr>
          <w:b/>
          <w:color w:val="000000"/>
        </w:rPr>
      </w:pPr>
      <w:r>
        <w:rPr>
          <w:b/>
          <w:color w:val="000000"/>
        </w:rPr>
        <w:t>ATLYGINIMAI</w:t>
      </w:r>
    </w:p>
    <w:p w14:paraId="5D7F3E4A" w14:textId="77777777" w:rsidR="00807272" w:rsidRDefault="00807272">
      <w:pPr>
        <w:jc w:val="center"/>
        <w:rPr>
          <w:color w:val="000000"/>
        </w:rPr>
      </w:pPr>
    </w:p>
    <w:p w14:paraId="5D7F3E4B" w14:textId="77777777" w:rsidR="00807272" w:rsidRDefault="00E27D34">
      <w:pPr>
        <w:ind w:left="5184"/>
        <w:rPr>
          <w:color w:val="000000"/>
        </w:rPr>
      </w:pPr>
      <w:r>
        <w:rPr>
          <w:color w:val="000000"/>
        </w:rPr>
        <w:t>(bazinės mėnesinės algos dydžiais)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994"/>
        <w:gridCol w:w="1156"/>
        <w:gridCol w:w="1277"/>
        <w:gridCol w:w="1200"/>
        <w:gridCol w:w="2680"/>
      </w:tblGrid>
      <w:tr w:rsidR="00807272" w14:paraId="5D7F3E4E" w14:textId="77777777">
        <w:trPr>
          <w:divId w:val="652830082"/>
        </w:trPr>
        <w:tc>
          <w:tcPr>
            <w:tcW w:w="0" w:type="auto"/>
            <w:vMerge w:val="restart"/>
          </w:tcPr>
          <w:p w14:paraId="5D7F3E4C" w14:textId="77777777" w:rsidR="00807272" w:rsidRDefault="00E27D34">
            <w:pPr>
              <w:rPr>
                <w:sz w:val="20"/>
                <w:lang w:eastAsia="lt-LT"/>
              </w:rPr>
            </w:pPr>
            <w:r>
              <w:rPr>
                <w:sz w:val="20"/>
                <w:lang w:eastAsia="lt-LT"/>
              </w:rPr>
              <w:t>Pareigos</w:t>
            </w:r>
          </w:p>
        </w:tc>
        <w:tc>
          <w:tcPr>
            <w:tcW w:w="0" w:type="auto"/>
            <w:gridSpan w:val="5"/>
          </w:tcPr>
          <w:p w14:paraId="5D7F3E4D" w14:textId="77777777" w:rsidR="00807272" w:rsidRDefault="00E27D34">
            <w:pPr>
              <w:jc w:val="center"/>
              <w:rPr>
                <w:sz w:val="20"/>
                <w:lang w:eastAsia="lt-LT"/>
              </w:rPr>
            </w:pPr>
            <w:r>
              <w:rPr>
                <w:sz w:val="20"/>
                <w:lang w:eastAsia="lt-LT"/>
              </w:rPr>
              <w:t>Koeficientas</w:t>
            </w:r>
          </w:p>
        </w:tc>
      </w:tr>
      <w:tr w:rsidR="00807272" w14:paraId="5D7F3E55" w14:textId="77777777">
        <w:trPr>
          <w:divId w:val="652830082"/>
        </w:trPr>
        <w:tc>
          <w:tcPr>
            <w:tcW w:w="0" w:type="auto"/>
            <w:vMerge/>
          </w:tcPr>
          <w:p w14:paraId="5D7F3E4F" w14:textId="77777777" w:rsidR="00807272" w:rsidRDefault="00807272">
            <w:pPr>
              <w:rPr>
                <w:sz w:val="20"/>
              </w:rPr>
            </w:pPr>
          </w:p>
        </w:tc>
        <w:tc>
          <w:tcPr>
            <w:tcW w:w="0" w:type="auto"/>
          </w:tcPr>
          <w:p w14:paraId="5D7F3E50" w14:textId="77777777" w:rsidR="00807272" w:rsidRDefault="00E27D34">
            <w:pPr>
              <w:rPr>
                <w:sz w:val="20"/>
                <w:lang w:eastAsia="lt-LT"/>
              </w:rPr>
            </w:pPr>
            <w:r>
              <w:rPr>
                <w:sz w:val="20"/>
                <w:lang w:eastAsia="lt-LT"/>
              </w:rPr>
              <w:t>pedagogų</w:t>
            </w:r>
          </w:p>
        </w:tc>
        <w:tc>
          <w:tcPr>
            <w:tcW w:w="0" w:type="auto"/>
          </w:tcPr>
          <w:p w14:paraId="5D7F3E51" w14:textId="77777777" w:rsidR="00807272" w:rsidRDefault="00E27D34">
            <w:pPr>
              <w:rPr>
                <w:sz w:val="20"/>
                <w:lang w:eastAsia="lt-LT"/>
              </w:rPr>
            </w:pPr>
            <w:r>
              <w:rPr>
                <w:sz w:val="20"/>
                <w:lang w:eastAsia="lt-LT"/>
              </w:rPr>
              <w:t>medicinos personalo</w:t>
            </w:r>
          </w:p>
        </w:tc>
        <w:tc>
          <w:tcPr>
            <w:tcW w:w="0" w:type="auto"/>
          </w:tcPr>
          <w:p w14:paraId="5D7F3E52" w14:textId="77777777" w:rsidR="00807272" w:rsidRDefault="00E27D34">
            <w:pPr>
              <w:rPr>
                <w:sz w:val="20"/>
                <w:lang w:eastAsia="lt-LT"/>
              </w:rPr>
            </w:pPr>
            <w:r>
              <w:rPr>
                <w:sz w:val="20"/>
                <w:lang w:eastAsia="lt-LT"/>
              </w:rPr>
              <w:t>kultū</w:t>
            </w:r>
            <w:r>
              <w:rPr>
                <w:sz w:val="20"/>
                <w:lang w:eastAsia="lt-LT"/>
              </w:rPr>
              <w:t>ros ir meno darbuotojų</w:t>
            </w:r>
          </w:p>
        </w:tc>
        <w:tc>
          <w:tcPr>
            <w:tcW w:w="0" w:type="auto"/>
          </w:tcPr>
          <w:p w14:paraId="5D7F3E53" w14:textId="77777777" w:rsidR="00807272" w:rsidRDefault="00E27D34">
            <w:pPr>
              <w:rPr>
                <w:sz w:val="20"/>
                <w:lang w:eastAsia="lt-LT"/>
              </w:rPr>
            </w:pPr>
            <w:r>
              <w:rPr>
                <w:sz w:val="20"/>
                <w:lang w:eastAsia="lt-LT"/>
              </w:rPr>
              <w:t>socialinių darbuotojų</w:t>
            </w:r>
          </w:p>
        </w:tc>
        <w:tc>
          <w:tcPr>
            <w:tcW w:w="0" w:type="auto"/>
          </w:tcPr>
          <w:p w14:paraId="5D7F3E54" w14:textId="77777777" w:rsidR="00807272" w:rsidRDefault="00E27D34">
            <w:pPr>
              <w:rPr>
                <w:sz w:val="20"/>
                <w:lang w:eastAsia="lt-LT"/>
              </w:rPr>
            </w:pPr>
            <w:r>
              <w:rPr>
                <w:sz w:val="20"/>
                <w:lang w:eastAsia="lt-LT"/>
              </w:rPr>
              <w:t>švietimo, kultūros ir meno, sveikatos apsaugos bei socialinių įstaigų kitų darbuotojų, taip pat kitų biudžetinių įstaigų ir organizacijų darbuotojų</w:t>
            </w:r>
          </w:p>
        </w:tc>
      </w:tr>
      <w:tr w:rsidR="00807272" w14:paraId="5D7F3E5C" w14:textId="77777777">
        <w:trPr>
          <w:divId w:val="652830082"/>
        </w:trPr>
        <w:tc>
          <w:tcPr>
            <w:tcW w:w="0" w:type="auto"/>
          </w:tcPr>
          <w:p w14:paraId="5D7F3E56" w14:textId="77777777" w:rsidR="00807272" w:rsidRDefault="00E27D34">
            <w:pPr>
              <w:rPr>
                <w:sz w:val="20"/>
                <w:lang w:eastAsia="lt-LT"/>
              </w:rPr>
            </w:pPr>
            <w:r>
              <w:rPr>
                <w:sz w:val="20"/>
                <w:lang w:eastAsia="lt-LT"/>
              </w:rPr>
              <w:t>Įstaigų ir organizacijų vadovai</w:t>
            </w:r>
          </w:p>
        </w:tc>
        <w:tc>
          <w:tcPr>
            <w:tcW w:w="0" w:type="auto"/>
          </w:tcPr>
          <w:p w14:paraId="5D7F3E57" w14:textId="77777777" w:rsidR="00807272" w:rsidRDefault="00E27D34">
            <w:pPr>
              <w:rPr>
                <w:sz w:val="20"/>
                <w:lang w:eastAsia="lt-LT"/>
              </w:rPr>
            </w:pPr>
            <w:r>
              <w:rPr>
                <w:sz w:val="20"/>
                <w:lang w:eastAsia="lt-LT"/>
              </w:rPr>
              <w:t>6,5–21,2</w:t>
            </w:r>
          </w:p>
        </w:tc>
        <w:tc>
          <w:tcPr>
            <w:tcW w:w="0" w:type="auto"/>
          </w:tcPr>
          <w:p w14:paraId="5D7F3E58" w14:textId="77777777" w:rsidR="00807272" w:rsidRDefault="00E27D34">
            <w:pPr>
              <w:rPr>
                <w:sz w:val="20"/>
                <w:lang w:eastAsia="lt-LT"/>
              </w:rPr>
            </w:pPr>
            <w:r>
              <w:rPr>
                <w:sz w:val="20"/>
                <w:lang w:eastAsia="lt-LT"/>
              </w:rPr>
              <w:t>5,2–18,8</w:t>
            </w:r>
          </w:p>
        </w:tc>
        <w:tc>
          <w:tcPr>
            <w:tcW w:w="0" w:type="auto"/>
          </w:tcPr>
          <w:p w14:paraId="5D7F3E59" w14:textId="77777777" w:rsidR="00807272" w:rsidRDefault="00E27D34">
            <w:pPr>
              <w:rPr>
                <w:sz w:val="20"/>
                <w:lang w:eastAsia="lt-LT"/>
              </w:rPr>
            </w:pPr>
            <w:r>
              <w:rPr>
                <w:sz w:val="20"/>
                <w:lang w:eastAsia="lt-LT"/>
              </w:rPr>
              <w:t>4,7–17,3</w:t>
            </w:r>
          </w:p>
        </w:tc>
        <w:tc>
          <w:tcPr>
            <w:tcW w:w="0" w:type="auto"/>
          </w:tcPr>
          <w:p w14:paraId="5D7F3E5A" w14:textId="77777777" w:rsidR="00807272" w:rsidRDefault="00E27D34">
            <w:pPr>
              <w:rPr>
                <w:sz w:val="20"/>
                <w:lang w:eastAsia="lt-LT"/>
              </w:rPr>
            </w:pPr>
            <w:r>
              <w:rPr>
                <w:sz w:val="20"/>
                <w:lang w:eastAsia="lt-LT"/>
              </w:rPr>
              <w:t>5–14,4</w:t>
            </w:r>
          </w:p>
        </w:tc>
        <w:tc>
          <w:tcPr>
            <w:tcW w:w="0" w:type="auto"/>
          </w:tcPr>
          <w:p w14:paraId="5D7F3E5B" w14:textId="77777777" w:rsidR="00807272" w:rsidRDefault="00E27D34">
            <w:pPr>
              <w:rPr>
                <w:sz w:val="20"/>
                <w:lang w:eastAsia="lt-LT"/>
              </w:rPr>
            </w:pPr>
            <w:r>
              <w:rPr>
                <w:sz w:val="20"/>
                <w:lang w:eastAsia="lt-LT"/>
              </w:rPr>
              <w:t>4,7–13,3</w:t>
            </w:r>
          </w:p>
        </w:tc>
      </w:tr>
      <w:tr w:rsidR="00807272" w14:paraId="5D7F3E63" w14:textId="77777777">
        <w:trPr>
          <w:divId w:val="652830082"/>
        </w:trPr>
        <w:tc>
          <w:tcPr>
            <w:tcW w:w="0" w:type="auto"/>
          </w:tcPr>
          <w:p w14:paraId="5D7F3E5D" w14:textId="77777777" w:rsidR="00807272" w:rsidRDefault="00E27D34">
            <w:pPr>
              <w:rPr>
                <w:sz w:val="20"/>
                <w:lang w:eastAsia="lt-LT"/>
              </w:rPr>
            </w:pPr>
            <w:r>
              <w:rPr>
                <w:sz w:val="20"/>
                <w:lang w:eastAsia="lt-LT"/>
              </w:rPr>
              <w:t>Įstaigų ir organizacijų vadovų pavaduotojai</w:t>
            </w:r>
          </w:p>
        </w:tc>
        <w:tc>
          <w:tcPr>
            <w:tcW w:w="0" w:type="auto"/>
          </w:tcPr>
          <w:p w14:paraId="5D7F3E5E" w14:textId="77777777" w:rsidR="00807272" w:rsidRDefault="00E27D34">
            <w:pPr>
              <w:rPr>
                <w:sz w:val="20"/>
                <w:lang w:eastAsia="lt-LT"/>
              </w:rPr>
            </w:pPr>
            <w:r>
              <w:rPr>
                <w:sz w:val="20"/>
                <w:lang w:eastAsia="lt-LT"/>
              </w:rPr>
              <w:t>5,8–19</w:t>
            </w:r>
          </w:p>
        </w:tc>
        <w:tc>
          <w:tcPr>
            <w:tcW w:w="0" w:type="auto"/>
          </w:tcPr>
          <w:p w14:paraId="5D7F3E5F" w14:textId="77777777" w:rsidR="00807272" w:rsidRDefault="00E27D34">
            <w:pPr>
              <w:rPr>
                <w:sz w:val="20"/>
                <w:lang w:eastAsia="lt-LT"/>
              </w:rPr>
            </w:pPr>
            <w:r>
              <w:rPr>
                <w:sz w:val="20"/>
                <w:lang w:eastAsia="lt-LT"/>
              </w:rPr>
              <w:t>4,7–16,9</w:t>
            </w:r>
          </w:p>
        </w:tc>
        <w:tc>
          <w:tcPr>
            <w:tcW w:w="0" w:type="auto"/>
          </w:tcPr>
          <w:p w14:paraId="5D7F3E60" w14:textId="77777777" w:rsidR="00807272" w:rsidRDefault="00E27D34">
            <w:pPr>
              <w:rPr>
                <w:sz w:val="20"/>
                <w:lang w:eastAsia="lt-LT"/>
              </w:rPr>
            </w:pPr>
            <w:r>
              <w:rPr>
                <w:sz w:val="20"/>
                <w:lang w:eastAsia="lt-LT"/>
              </w:rPr>
              <w:t>4,37–15,6</w:t>
            </w:r>
          </w:p>
        </w:tc>
        <w:tc>
          <w:tcPr>
            <w:tcW w:w="0" w:type="auto"/>
          </w:tcPr>
          <w:p w14:paraId="5D7F3E61" w14:textId="77777777" w:rsidR="00807272" w:rsidRDefault="00E27D34">
            <w:pPr>
              <w:rPr>
                <w:sz w:val="20"/>
                <w:lang w:eastAsia="lt-LT"/>
              </w:rPr>
            </w:pPr>
            <w:r>
              <w:rPr>
                <w:sz w:val="20"/>
                <w:lang w:eastAsia="lt-LT"/>
              </w:rPr>
              <w:t>4,5–12,9</w:t>
            </w:r>
          </w:p>
        </w:tc>
        <w:tc>
          <w:tcPr>
            <w:tcW w:w="0" w:type="auto"/>
          </w:tcPr>
          <w:p w14:paraId="5D7F3E62" w14:textId="77777777" w:rsidR="00807272" w:rsidRDefault="00E27D34">
            <w:pPr>
              <w:rPr>
                <w:sz w:val="20"/>
                <w:lang w:eastAsia="lt-LT"/>
              </w:rPr>
            </w:pPr>
            <w:r>
              <w:rPr>
                <w:sz w:val="20"/>
                <w:lang w:eastAsia="lt-LT"/>
              </w:rPr>
              <w:t>4,37–11,9</w:t>
            </w:r>
          </w:p>
        </w:tc>
      </w:tr>
      <w:tr w:rsidR="00807272" w14:paraId="5D7F3E6A" w14:textId="77777777">
        <w:trPr>
          <w:divId w:val="652830082"/>
        </w:trPr>
        <w:tc>
          <w:tcPr>
            <w:tcW w:w="0" w:type="auto"/>
          </w:tcPr>
          <w:p w14:paraId="5D7F3E64" w14:textId="77777777" w:rsidR="00807272" w:rsidRDefault="00E27D34">
            <w:pPr>
              <w:rPr>
                <w:sz w:val="20"/>
                <w:lang w:eastAsia="lt-LT"/>
              </w:rPr>
            </w:pPr>
            <w:r>
              <w:rPr>
                <w:sz w:val="20"/>
                <w:lang w:eastAsia="lt-LT"/>
              </w:rPr>
              <w:t>iš jų ūkio, bendriems, finansų ir kitiems klausimams, vyriausieji buhalteriai (finansininkai)</w:t>
            </w:r>
          </w:p>
        </w:tc>
        <w:tc>
          <w:tcPr>
            <w:tcW w:w="0" w:type="auto"/>
          </w:tcPr>
          <w:p w14:paraId="5D7F3E65" w14:textId="77777777" w:rsidR="00807272" w:rsidRDefault="00E27D34">
            <w:pPr>
              <w:rPr>
                <w:sz w:val="20"/>
                <w:lang w:eastAsia="lt-LT"/>
              </w:rPr>
            </w:pPr>
            <w:r>
              <w:rPr>
                <w:sz w:val="20"/>
                <w:lang w:eastAsia="lt-LT"/>
              </w:rPr>
              <w:t>-</w:t>
            </w:r>
          </w:p>
        </w:tc>
        <w:tc>
          <w:tcPr>
            <w:tcW w:w="0" w:type="auto"/>
          </w:tcPr>
          <w:p w14:paraId="5D7F3E66" w14:textId="77777777" w:rsidR="00807272" w:rsidRDefault="00E27D34">
            <w:pPr>
              <w:rPr>
                <w:sz w:val="20"/>
                <w:lang w:eastAsia="lt-LT"/>
              </w:rPr>
            </w:pPr>
            <w:r>
              <w:rPr>
                <w:sz w:val="20"/>
                <w:lang w:eastAsia="lt-LT"/>
              </w:rPr>
              <w:t>-</w:t>
            </w:r>
          </w:p>
        </w:tc>
        <w:tc>
          <w:tcPr>
            <w:tcW w:w="0" w:type="auto"/>
          </w:tcPr>
          <w:p w14:paraId="5D7F3E67" w14:textId="77777777" w:rsidR="00807272" w:rsidRDefault="00E27D34">
            <w:pPr>
              <w:rPr>
                <w:sz w:val="20"/>
                <w:lang w:eastAsia="lt-LT"/>
              </w:rPr>
            </w:pPr>
            <w:r>
              <w:rPr>
                <w:sz w:val="20"/>
                <w:lang w:eastAsia="lt-LT"/>
              </w:rPr>
              <w:t>-</w:t>
            </w:r>
          </w:p>
        </w:tc>
        <w:tc>
          <w:tcPr>
            <w:tcW w:w="0" w:type="auto"/>
          </w:tcPr>
          <w:p w14:paraId="5D7F3E68" w14:textId="77777777" w:rsidR="00807272" w:rsidRDefault="00E27D34">
            <w:pPr>
              <w:rPr>
                <w:sz w:val="20"/>
                <w:lang w:eastAsia="lt-LT"/>
              </w:rPr>
            </w:pPr>
            <w:r>
              <w:rPr>
                <w:sz w:val="20"/>
                <w:lang w:eastAsia="lt-LT"/>
              </w:rPr>
              <w:t>-</w:t>
            </w:r>
          </w:p>
        </w:tc>
        <w:tc>
          <w:tcPr>
            <w:tcW w:w="0" w:type="auto"/>
          </w:tcPr>
          <w:p w14:paraId="5D7F3E69" w14:textId="77777777" w:rsidR="00807272" w:rsidRDefault="00E27D34">
            <w:pPr>
              <w:rPr>
                <w:sz w:val="20"/>
                <w:lang w:eastAsia="lt-LT"/>
              </w:rPr>
            </w:pPr>
            <w:r>
              <w:rPr>
                <w:sz w:val="20"/>
                <w:lang w:eastAsia="lt-LT"/>
              </w:rPr>
              <w:t>4,37–11,9</w:t>
            </w:r>
          </w:p>
        </w:tc>
      </w:tr>
      <w:tr w:rsidR="00807272" w14:paraId="5D7F3E71" w14:textId="77777777">
        <w:trPr>
          <w:divId w:val="652830082"/>
        </w:trPr>
        <w:tc>
          <w:tcPr>
            <w:tcW w:w="0" w:type="auto"/>
          </w:tcPr>
          <w:p w14:paraId="5D7F3E6B" w14:textId="77777777" w:rsidR="00807272" w:rsidRDefault="00E27D34">
            <w:pPr>
              <w:rPr>
                <w:sz w:val="20"/>
                <w:lang w:eastAsia="lt-LT"/>
              </w:rPr>
            </w:pPr>
            <w:r>
              <w:rPr>
                <w:sz w:val="20"/>
                <w:lang w:eastAsia="lt-LT"/>
              </w:rPr>
              <w:t xml:space="preserve">Skyrių (sektorių, kitų padalinių) </w:t>
            </w:r>
            <w:r>
              <w:rPr>
                <w:sz w:val="20"/>
                <w:lang w:eastAsia="lt-LT"/>
              </w:rPr>
              <w:t>vadovai</w:t>
            </w:r>
          </w:p>
        </w:tc>
        <w:tc>
          <w:tcPr>
            <w:tcW w:w="0" w:type="auto"/>
          </w:tcPr>
          <w:p w14:paraId="5D7F3E6C" w14:textId="77777777" w:rsidR="00807272" w:rsidRDefault="00E27D34">
            <w:pPr>
              <w:rPr>
                <w:sz w:val="20"/>
                <w:lang w:eastAsia="lt-LT"/>
              </w:rPr>
            </w:pPr>
            <w:r>
              <w:rPr>
                <w:sz w:val="20"/>
                <w:lang w:eastAsia="lt-LT"/>
              </w:rPr>
              <w:t>5,7–15,1</w:t>
            </w:r>
          </w:p>
        </w:tc>
        <w:tc>
          <w:tcPr>
            <w:tcW w:w="0" w:type="auto"/>
          </w:tcPr>
          <w:p w14:paraId="5D7F3E6D" w14:textId="77777777" w:rsidR="00807272" w:rsidRDefault="00E27D34">
            <w:pPr>
              <w:rPr>
                <w:sz w:val="20"/>
                <w:lang w:eastAsia="lt-LT"/>
              </w:rPr>
            </w:pPr>
            <w:r>
              <w:rPr>
                <w:sz w:val="20"/>
                <w:lang w:eastAsia="lt-LT"/>
              </w:rPr>
              <w:t>-</w:t>
            </w:r>
          </w:p>
        </w:tc>
        <w:tc>
          <w:tcPr>
            <w:tcW w:w="0" w:type="auto"/>
          </w:tcPr>
          <w:p w14:paraId="5D7F3E6E" w14:textId="77777777" w:rsidR="00807272" w:rsidRDefault="00E27D34">
            <w:pPr>
              <w:rPr>
                <w:sz w:val="20"/>
                <w:lang w:eastAsia="lt-LT"/>
              </w:rPr>
            </w:pPr>
            <w:r>
              <w:rPr>
                <w:sz w:val="20"/>
                <w:lang w:eastAsia="lt-LT"/>
              </w:rPr>
              <w:t>4,35–12,3</w:t>
            </w:r>
          </w:p>
        </w:tc>
        <w:tc>
          <w:tcPr>
            <w:tcW w:w="0" w:type="auto"/>
          </w:tcPr>
          <w:p w14:paraId="5D7F3E6F" w14:textId="77777777" w:rsidR="00807272" w:rsidRDefault="00E27D34">
            <w:pPr>
              <w:rPr>
                <w:sz w:val="20"/>
                <w:lang w:eastAsia="lt-LT"/>
              </w:rPr>
            </w:pPr>
            <w:r>
              <w:rPr>
                <w:sz w:val="20"/>
                <w:lang w:eastAsia="lt-LT"/>
              </w:rPr>
              <w:t>4,37–10,9</w:t>
            </w:r>
          </w:p>
        </w:tc>
        <w:tc>
          <w:tcPr>
            <w:tcW w:w="0" w:type="auto"/>
          </w:tcPr>
          <w:p w14:paraId="5D7F3E70" w14:textId="77777777" w:rsidR="00807272" w:rsidRDefault="00E27D34">
            <w:pPr>
              <w:rPr>
                <w:sz w:val="20"/>
                <w:lang w:eastAsia="lt-LT"/>
              </w:rPr>
            </w:pPr>
            <w:r>
              <w:rPr>
                <w:sz w:val="20"/>
                <w:lang w:eastAsia="lt-LT"/>
              </w:rPr>
              <w:t>4,35–10,8</w:t>
            </w:r>
          </w:p>
        </w:tc>
      </w:tr>
      <w:tr w:rsidR="00807272" w14:paraId="5D7F3E78" w14:textId="77777777">
        <w:trPr>
          <w:divId w:val="652830082"/>
        </w:trPr>
        <w:tc>
          <w:tcPr>
            <w:tcW w:w="0" w:type="auto"/>
          </w:tcPr>
          <w:p w14:paraId="5D7F3E72" w14:textId="77777777" w:rsidR="00807272" w:rsidRDefault="00E27D34">
            <w:pPr>
              <w:rPr>
                <w:sz w:val="20"/>
                <w:lang w:eastAsia="lt-LT"/>
              </w:rPr>
            </w:pPr>
            <w:r>
              <w:rPr>
                <w:sz w:val="20"/>
                <w:lang w:eastAsia="lt-LT"/>
              </w:rPr>
              <w:t>Specialistai:</w:t>
            </w:r>
          </w:p>
        </w:tc>
        <w:tc>
          <w:tcPr>
            <w:tcW w:w="0" w:type="auto"/>
          </w:tcPr>
          <w:p w14:paraId="5D7F3E73" w14:textId="77777777" w:rsidR="00807272" w:rsidRDefault="00807272">
            <w:pPr>
              <w:rPr>
                <w:sz w:val="20"/>
              </w:rPr>
            </w:pPr>
          </w:p>
        </w:tc>
        <w:tc>
          <w:tcPr>
            <w:tcW w:w="0" w:type="auto"/>
          </w:tcPr>
          <w:p w14:paraId="5D7F3E74" w14:textId="77777777" w:rsidR="00807272" w:rsidRDefault="00807272">
            <w:pPr>
              <w:rPr>
                <w:sz w:val="20"/>
              </w:rPr>
            </w:pPr>
          </w:p>
        </w:tc>
        <w:tc>
          <w:tcPr>
            <w:tcW w:w="0" w:type="auto"/>
          </w:tcPr>
          <w:p w14:paraId="5D7F3E75" w14:textId="77777777" w:rsidR="00807272" w:rsidRDefault="00807272">
            <w:pPr>
              <w:rPr>
                <w:sz w:val="20"/>
              </w:rPr>
            </w:pPr>
          </w:p>
        </w:tc>
        <w:tc>
          <w:tcPr>
            <w:tcW w:w="0" w:type="auto"/>
          </w:tcPr>
          <w:p w14:paraId="5D7F3E76" w14:textId="77777777" w:rsidR="00807272" w:rsidRDefault="00807272">
            <w:pPr>
              <w:rPr>
                <w:sz w:val="20"/>
              </w:rPr>
            </w:pPr>
          </w:p>
        </w:tc>
        <w:tc>
          <w:tcPr>
            <w:tcW w:w="0" w:type="auto"/>
          </w:tcPr>
          <w:p w14:paraId="5D7F3E77" w14:textId="77777777" w:rsidR="00807272" w:rsidRDefault="00807272">
            <w:pPr>
              <w:rPr>
                <w:sz w:val="20"/>
              </w:rPr>
            </w:pPr>
          </w:p>
        </w:tc>
      </w:tr>
      <w:tr w:rsidR="00807272" w14:paraId="5D7F3E7F" w14:textId="77777777">
        <w:trPr>
          <w:divId w:val="652830082"/>
        </w:trPr>
        <w:tc>
          <w:tcPr>
            <w:tcW w:w="0" w:type="auto"/>
          </w:tcPr>
          <w:p w14:paraId="5D7F3E79" w14:textId="77777777" w:rsidR="00807272" w:rsidRDefault="00E27D34">
            <w:pPr>
              <w:rPr>
                <w:sz w:val="20"/>
                <w:lang w:eastAsia="lt-LT"/>
              </w:rPr>
            </w:pPr>
            <w:r>
              <w:rPr>
                <w:sz w:val="20"/>
                <w:lang w:eastAsia="lt-LT"/>
              </w:rPr>
              <w:t>su aukštuoju mokslu</w:t>
            </w:r>
          </w:p>
        </w:tc>
        <w:tc>
          <w:tcPr>
            <w:tcW w:w="0" w:type="auto"/>
          </w:tcPr>
          <w:p w14:paraId="5D7F3E7A" w14:textId="77777777" w:rsidR="00807272" w:rsidRDefault="00E27D34">
            <w:pPr>
              <w:rPr>
                <w:sz w:val="20"/>
                <w:lang w:eastAsia="lt-LT"/>
              </w:rPr>
            </w:pPr>
            <w:r>
              <w:rPr>
                <w:sz w:val="20"/>
                <w:lang w:eastAsia="lt-LT"/>
              </w:rPr>
              <w:t>5,5–13,7</w:t>
            </w:r>
          </w:p>
        </w:tc>
        <w:tc>
          <w:tcPr>
            <w:tcW w:w="0" w:type="auto"/>
          </w:tcPr>
          <w:p w14:paraId="5D7F3E7B" w14:textId="77777777" w:rsidR="00807272" w:rsidRDefault="00E27D34">
            <w:pPr>
              <w:rPr>
                <w:sz w:val="20"/>
                <w:lang w:eastAsia="lt-LT"/>
              </w:rPr>
            </w:pPr>
            <w:r>
              <w:rPr>
                <w:sz w:val="20"/>
                <w:lang w:eastAsia="lt-LT"/>
              </w:rPr>
              <w:t>4,35–10,6</w:t>
            </w:r>
          </w:p>
        </w:tc>
        <w:tc>
          <w:tcPr>
            <w:tcW w:w="0" w:type="auto"/>
          </w:tcPr>
          <w:p w14:paraId="5D7F3E7C" w14:textId="77777777" w:rsidR="00807272" w:rsidRDefault="00E27D34">
            <w:pPr>
              <w:rPr>
                <w:sz w:val="20"/>
                <w:lang w:eastAsia="lt-LT"/>
              </w:rPr>
            </w:pPr>
            <w:r>
              <w:rPr>
                <w:sz w:val="20"/>
                <w:lang w:eastAsia="lt-LT"/>
              </w:rPr>
              <w:t>4,31–12</w:t>
            </w:r>
          </w:p>
        </w:tc>
        <w:tc>
          <w:tcPr>
            <w:tcW w:w="0" w:type="auto"/>
          </w:tcPr>
          <w:p w14:paraId="5D7F3E7D" w14:textId="77777777" w:rsidR="00807272" w:rsidRDefault="00E27D34">
            <w:pPr>
              <w:rPr>
                <w:sz w:val="20"/>
                <w:lang w:eastAsia="lt-LT"/>
              </w:rPr>
            </w:pPr>
            <w:r>
              <w:rPr>
                <w:sz w:val="20"/>
                <w:lang w:eastAsia="lt-LT"/>
              </w:rPr>
              <w:t>4,33–10,3</w:t>
            </w:r>
          </w:p>
        </w:tc>
        <w:tc>
          <w:tcPr>
            <w:tcW w:w="0" w:type="auto"/>
          </w:tcPr>
          <w:p w14:paraId="5D7F3E7E" w14:textId="77777777" w:rsidR="00807272" w:rsidRDefault="00E27D34">
            <w:pPr>
              <w:rPr>
                <w:sz w:val="20"/>
                <w:lang w:eastAsia="lt-LT"/>
              </w:rPr>
            </w:pPr>
            <w:r>
              <w:rPr>
                <w:sz w:val="20"/>
                <w:lang w:eastAsia="lt-LT"/>
              </w:rPr>
              <w:t>4,31–9,5</w:t>
            </w:r>
          </w:p>
        </w:tc>
      </w:tr>
      <w:tr w:rsidR="00807272" w14:paraId="5D7F3E86" w14:textId="77777777">
        <w:trPr>
          <w:divId w:val="652830082"/>
        </w:trPr>
        <w:tc>
          <w:tcPr>
            <w:tcW w:w="0" w:type="auto"/>
          </w:tcPr>
          <w:p w14:paraId="5D7F3E80" w14:textId="77777777" w:rsidR="00807272" w:rsidRDefault="00E27D34">
            <w:pPr>
              <w:rPr>
                <w:sz w:val="20"/>
                <w:lang w:eastAsia="lt-LT"/>
              </w:rPr>
            </w:pPr>
            <w:r>
              <w:rPr>
                <w:sz w:val="20"/>
                <w:lang w:eastAsia="lt-LT"/>
              </w:rPr>
              <w:t>iš jų specialistai, kurių mokymo trukmė pagal mokymo planus stacionare – šešeri ir daugiau metų</w:t>
            </w:r>
          </w:p>
        </w:tc>
        <w:tc>
          <w:tcPr>
            <w:tcW w:w="0" w:type="auto"/>
          </w:tcPr>
          <w:p w14:paraId="5D7F3E81" w14:textId="77777777" w:rsidR="00807272" w:rsidRDefault="00E27D34">
            <w:pPr>
              <w:rPr>
                <w:sz w:val="20"/>
                <w:lang w:eastAsia="lt-LT"/>
              </w:rPr>
            </w:pPr>
            <w:r>
              <w:rPr>
                <w:sz w:val="20"/>
                <w:lang w:eastAsia="lt-LT"/>
              </w:rPr>
              <w:t>–</w:t>
            </w:r>
          </w:p>
        </w:tc>
        <w:tc>
          <w:tcPr>
            <w:tcW w:w="0" w:type="auto"/>
          </w:tcPr>
          <w:p w14:paraId="5D7F3E82" w14:textId="77777777" w:rsidR="00807272" w:rsidRDefault="00E27D34">
            <w:pPr>
              <w:rPr>
                <w:sz w:val="20"/>
                <w:lang w:eastAsia="lt-LT"/>
              </w:rPr>
            </w:pPr>
            <w:r>
              <w:rPr>
                <w:sz w:val="20"/>
                <w:lang w:eastAsia="lt-LT"/>
              </w:rPr>
              <w:t>4,5–14</w:t>
            </w:r>
          </w:p>
        </w:tc>
        <w:tc>
          <w:tcPr>
            <w:tcW w:w="0" w:type="auto"/>
          </w:tcPr>
          <w:p w14:paraId="5D7F3E83" w14:textId="77777777" w:rsidR="00807272" w:rsidRDefault="00E27D34">
            <w:pPr>
              <w:rPr>
                <w:sz w:val="20"/>
                <w:lang w:eastAsia="lt-LT"/>
              </w:rPr>
            </w:pPr>
            <w:r>
              <w:rPr>
                <w:sz w:val="20"/>
                <w:lang w:eastAsia="lt-LT"/>
              </w:rPr>
              <w:t>–</w:t>
            </w:r>
          </w:p>
        </w:tc>
        <w:tc>
          <w:tcPr>
            <w:tcW w:w="0" w:type="auto"/>
          </w:tcPr>
          <w:p w14:paraId="5D7F3E84" w14:textId="77777777" w:rsidR="00807272" w:rsidRDefault="00E27D34">
            <w:pPr>
              <w:rPr>
                <w:sz w:val="20"/>
                <w:lang w:eastAsia="lt-LT"/>
              </w:rPr>
            </w:pPr>
            <w:r>
              <w:rPr>
                <w:sz w:val="20"/>
                <w:lang w:eastAsia="lt-LT"/>
              </w:rPr>
              <w:t>–</w:t>
            </w:r>
          </w:p>
        </w:tc>
        <w:tc>
          <w:tcPr>
            <w:tcW w:w="0" w:type="auto"/>
          </w:tcPr>
          <w:p w14:paraId="5D7F3E85" w14:textId="77777777" w:rsidR="00807272" w:rsidRDefault="00E27D34">
            <w:pPr>
              <w:rPr>
                <w:sz w:val="20"/>
                <w:lang w:eastAsia="lt-LT"/>
              </w:rPr>
            </w:pPr>
            <w:r>
              <w:rPr>
                <w:sz w:val="20"/>
                <w:lang w:eastAsia="lt-LT"/>
              </w:rPr>
              <w:t>–</w:t>
            </w:r>
          </w:p>
        </w:tc>
      </w:tr>
      <w:tr w:rsidR="00807272" w14:paraId="5D7F3E8D" w14:textId="77777777">
        <w:trPr>
          <w:divId w:val="652830082"/>
        </w:trPr>
        <w:tc>
          <w:tcPr>
            <w:tcW w:w="0" w:type="auto"/>
          </w:tcPr>
          <w:p w14:paraId="5D7F3E87" w14:textId="77777777" w:rsidR="00807272" w:rsidRDefault="00E27D34">
            <w:pPr>
              <w:rPr>
                <w:sz w:val="20"/>
                <w:lang w:eastAsia="lt-LT"/>
              </w:rPr>
            </w:pPr>
            <w:r>
              <w:rPr>
                <w:sz w:val="20"/>
                <w:lang w:eastAsia="lt-LT"/>
              </w:rPr>
              <w:t>Specialistai su aukštesniuoju mokslu</w:t>
            </w:r>
          </w:p>
        </w:tc>
        <w:tc>
          <w:tcPr>
            <w:tcW w:w="0" w:type="auto"/>
          </w:tcPr>
          <w:p w14:paraId="5D7F3E88" w14:textId="77777777" w:rsidR="00807272" w:rsidRDefault="00E27D34">
            <w:pPr>
              <w:rPr>
                <w:sz w:val="20"/>
                <w:lang w:eastAsia="lt-LT"/>
              </w:rPr>
            </w:pPr>
            <w:r>
              <w:rPr>
                <w:sz w:val="20"/>
                <w:lang w:eastAsia="lt-LT"/>
              </w:rPr>
              <w:t>5,4–10,8</w:t>
            </w:r>
          </w:p>
        </w:tc>
        <w:tc>
          <w:tcPr>
            <w:tcW w:w="0" w:type="auto"/>
          </w:tcPr>
          <w:p w14:paraId="5D7F3E89" w14:textId="77777777" w:rsidR="00807272" w:rsidRDefault="00E27D34">
            <w:pPr>
              <w:rPr>
                <w:sz w:val="20"/>
                <w:lang w:eastAsia="lt-LT"/>
              </w:rPr>
            </w:pPr>
            <w:r>
              <w:rPr>
                <w:sz w:val="20"/>
                <w:lang w:eastAsia="lt-LT"/>
              </w:rPr>
              <w:t>4,29–8,8</w:t>
            </w:r>
          </w:p>
        </w:tc>
        <w:tc>
          <w:tcPr>
            <w:tcW w:w="0" w:type="auto"/>
          </w:tcPr>
          <w:p w14:paraId="5D7F3E8A" w14:textId="77777777" w:rsidR="00807272" w:rsidRDefault="00E27D34">
            <w:pPr>
              <w:rPr>
                <w:sz w:val="20"/>
                <w:lang w:eastAsia="lt-LT"/>
              </w:rPr>
            </w:pPr>
            <w:r>
              <w:rPr>
                <w:sz w:val="20"/>
                <w:lang w:eastAsia="lt-LT"/>
              </w:rPr>
              <w:t>4,27–9,1</w:t>
            </w:r>
          </w:p>
        </w:tc>
        <w:tc>
          <w:tcPr>
            <w:tcW w:w="0" w:type="auto"/>
          </w:tcPr>
          <w:p w14:paraId="5D7F3E8B" w14:textId="77777777" w:rsidR="00807272" w:rsidRDefault="00E27D34">
            <w:pPr>
              <w:rPr>
                <w:sz w:val="20"/>
                <w:lang w:eastAsia="lt-LT"/>
              </w:rPr>
            </w:pPr>
            <w:r>
              <w:rPr>
                <w:sz w:val="20"/>
                <w:lang w:eastAsia="lt-LT"/>
              </w:rPr>
              <w:t>4,27–8,1</w:t>
            </w:r>
          </w:p>
        </w:tc>
        <w:tc>
          <w:tcPr>
            <w:tcW w:w="0" w:type="auto"/>
          </w:tcPr>
          <w:p w14:paraId="5D7F3E8C" w14:textId="77777777" w:rsidR="00807272" w:rsidRDefault="00E27D34">
            <w:pPr>
              <w:rPr>
                <w:sz w:val="20"/>
                <w:lang w:eastAsia="lt-LT"/>
              </w:rPr>
            </w:pPr>
            <w:r>
              <w:rPr>
                <w:sz w:val="20"/>
                <w:lang w:eastAsia="lt-LT"/>
              </w:rPr>
              <w:t>4,27–8</w:t>
            </w:r>
          </w:p>
        </w:tc>
      </w:tr>
      <w:tr w:rsidR="00807272" w14:paraId="5D7F3E94" w14:textId="77777777">
        <w:trPr>
          <w:divId w:val="652830082"/>
        </w:trPr>
        <w:tc>
          <w:tcPr>
            <w:tcW w:w="0" w:type="auto"/>
          </w:tcPr>
          <w:p w14:paraId="5D7F3E8E" w14:textId="77777777" w:rsidR="00807272" w:rsidRDefault="00E27D34">
            <w:pPr>
              <w:rPr>
                <w:sz w:val="20"/>
                <w:lang w:eastAsia="lt-LT"/>
              </w:rPr>
            </w:pPr>
            <w:r>
              <w:rPr>
                <w:sz w:val="20"/>
                <w:lang w:eastAsia="lt-LT"/>
              </w:rPr>
              <w:t>Tarnautojai, išskyrus vadovus ir specialistus</w:t>
            </w:r>
          </w:p>
        </w:tc>
        <w:tc>
          <w:tcPr>
            <w:tcW w:w="0" w:type="auto"/>
          </w:tcPr>
          <w:p w14:paraId="5D7F3E8F" w14:textId="77777777" w:rsidR="00807272" w:rsidRDefault="00E27D34">
            <w:pPr>
              <w:rPr>
                <w:sz w:val="20"/>
                <w:lang w:eastAsia="lt-LT"/>
              </w:rPr>
            </w:pPr>
            <w:r>
              <w:rPr>
                <w:sz w:val="20"/>
                <w:lang w:eastAsia="lt-LT"/>
              </w:rPr>
              <w:t>–</w:t>
            </w:r>
          </w:p>
        </w:tc>
        <w:tc>
          <w:tcPr>
            <w:tcW w:w="0" w:type="auto"/>
          </w:tcPr>
          <w:p w14:paraId="5D7F3E90" w14:textId="77777777" w:rsidR="00807272" w:rsidRDefault="00E27D34">
            <w:pPr>
              <w:rPr>
                <w:sz w:val="20"/>
                <w:lang w:eastAsia="lt-LT"/>
              </w:rPr>
            </w:pPr>
            <w:r>
              <w:rPr>
                <w:sz w:val="20"/>
                <w:lang w:eastAsia="lt-LT"/>
              </w:rPr>
              <w:t>–</w:t>
            </w:r>
          </w:p>
        </w:tc>
        <w:tc>
          <w:tcPr>
            <w:tcW w:w="0" w:type="auto"/>
          </w:tcPr>
          <w:p w14:paraId="5D7F3E91" w14:textId="77777777" w:rsidR="00807272" w:rsidRDefault="00E27D34">
            <w:pPr>
              <w:rPr>
                <w:sz w:val="20"/>
                <w:lang w:eastAsia="lt-LT"/>
              </w:rPr>
            </w:pPr>
            <w:r>
              <w:rPr>
                <w:sz w:val="20"/>
                <w:lang w:eastAsia="lt-LT"/>
              </w:rPr>
              <w:t>–</w:t>
            </w:r>
          </w:p>
        </w:tc>
        <w:tc>
          <w:tcPr>
            <w:tcW w:w="0" w:type="auto"/>
          </w:tcPr>
          <w:p w14:paraId="5D7F3E92" w14:textId="77777777" w:rsidR="00807272" w:rsidRDefault="00E27D34">
            <w:pPr>
              <w:rPr>
                <w:sz w:val="20"/>
                <w:lang w:eastAsia="lt-LT"/>
              </w:rPr>
            </w:pPr>
            <w:r>
              <w:rPr>
                <w:sz w:val="20"/>
                <w:lang w:eastAsia="lt-LT"/>
              </w:rPr>
              <w:t>–</w:t>
            </w:r>
          </w:p>
        </w:tc>
        <w:tc>
          <w:tcPr>
            <w:tcW w:w="0" w:type="auto"/>
          </w:tcPr>
          <w:p w14:paraId="5D7F3E93" w14:textId="77777777" w:rsidR="00807272" w:rsidRDefault="00E27D34">
            <w:pPr>
              <w:rPr>
                <w:sz w:val="20"/>
                <w:lang w:eastAsia="lt-LT"/>
              </w:rPr>
            </w:pPr>
            <w:r>
              <w:rPr>
                <w:sz w:val="20"/>
                <w:lang w:eastAsia="lt-LT"/>
              </w:rPr>
              <w:t>4,24–7,5</w:t>
            </w:r>
          </w:p>
        </w:tc>
      </w:tr>
      <w:tr w:rsidR="00807272" w14:paraId="5D7F3E9B" w14:textId="77777777">
        <w:trPr>
          <w:divId w:val="652830082"/>
        </w:trPr>
        <w:tc>
          <w:tcPr>
            <w:tcW w:w="0" w:type="auto"/>
          </w:tcPr>
          <w:p w14:paraId="5D7F3E95" w14:textId="77777777" w:rsidR="00807272" w:rsidRDefault="00E27D34">
            <w:pPr>
              <w:rPr>
                <w:sz w:val="20"/>
                <w:lang w:eastAsia="lt-LT"/>
              </w:rPr>
            </w:pPr>
            <w:r>
              <w:rPr>
                <w:sz w:val="20"/>
                <w:lang w:eastAsia="lt-LT"/>
              </w:rPr>
              <w:t>Jaunesnysis medicinos ir individualios priežiūros personalas</w:t>
            </w:r>
          </w:p>
        </w:tc>
        <w:tc>
          <w:tcPr>
            <w:tcW w:w="0" w:type="auto"/>
          </w:tcPr>
          <w:p w14:paraId="5D7F3E96" w14:textId="77777777" w:rsidR="00807272" w:rsidRDefault="00E27D34">
            <w:pPr>
              <w:rPr>
                <w:sz w:val="20"/>
                <w:lang w:eastAsia="lt-LT"/>
              </w:rPr>
            </w:pPr>
            <w:r>
              <w:rPr>
                <w:sz w:val="20"/>
                <w:lang w:eastAsia="lt-LT"/>
              </w:rPr>
              <w:t>–</w:t>
            </w:r>
          </w:p>
        </w:tc>
        <w:tc>
          <w:tcPr>
            <w:tcW w:w="0" w:type="auto"/>
          </w:tcPr>
          <w:p w14:paraId="5D7F3E97" w14:textId="77777777" w:rsidR="00807272" w:rsidRDefault="00E27D34">
            <w:pPr>
              <w:rPr>
                <w:sz w:val="20"/>
                <w:lang w:eastAsia="lt-LT"/>
              </w:rPr>
            </w:pPr>
            <w:r>
              <w:rPr>
                <w:sz w:val="20"/>
                <w:lang w:eastAsia="lt-LT"/>
              </w:rPr>
              <w:t>4,21–6,3</w:t>
            </w:r>
          </w:p>
        </w:tc>
        <w:tc>
          <w:tcPr>
            <w:tcW w:w="0" w:type="auto"/>
          </w:tcPr>
          <w:p w14:paraId="5D7F3E98" w14:textId="77777777" w:rsidR="00807272" w:rsidRDefault="00E27D34">
            <w:pPr>
              <w:rPr>
                <w:sz w:val="20"/>
                <w:lang w:eastAsia="lt-LT"/>
              </w:rPr>
            </w:pPr>
            <w:r>
              <w:rPr>
                <w:sz w:val="20"/>
                <w:lang w:eastAsia="lt-LT"/>
              </w:rPr>
              <w:t>–</w:t>
            </w:r>
          </w:p>
        </w:tc>
        <w:tc>
          <w:tcPr>
            <w:tcW w:w="0" w:type="auto"/>
          </w:tcPr>
          <w:p w14:paraId="5D7F3E99" w14:textId="77777777" w:rsidR="00807272" w:rsidRDefault="00E27D34">
            <w:pPr>
              <w:rPr>
                <w:sz w:val="20"/>
                <w:lang w:eastAsia="lt-LT"/>
              </w:rPr>
            </w:pPr>
            <w:r>
              <w:rPr>
                <w:sz w:val="20"/>
                <w:lang w:eastAsia="lt-LT"/>
              </w:rPr>
              <w:t>4,22–6,9</w:t>
            </w:r>
          </w:p>
        </w:tc>
        <w:tc>
          <w:tcPr>
            <w:tcW w:w="0" w:type="auto"/>
          </w:tcPr>
          <w:p w14:paraId="5D7F3E9A" w14:textId="77777777" w:rsidR="00807272" w:rsidRDefault="00E27D34">
            <w:pPr>
              <w:rPr>
                <w:sz w:val="20"/>
                <w:lang w:eastAsia="lt-LT"/>
              </w:rPr>
            </w:pPr>
            <w:r>
              <w:rPr>
                <w:sz w:val="20"/>
                <w:lang w:eastAsia="lt-LT"/>
              </w:rPr>
              <w:t>–</w:t>
            </w:r>
          </w:p>
        </w:tc>
      </w:tr>
      <w:tr w:rsidR="00807272" w14:paraId="5D7F3EA2" w14:textId="77777777">
        <w:trPr>
          <w:divId w:val="652830082"/>
        </w:trPr>
        <w:tc>
          <w:tcPr>
            <w:tcW w:w="0" w:type="auto"/>
          </w:tcPr>
          <w:p w14:paraId="5D7F3E9C" w14:textId="77777777" w:rsidR="00807272" w:rsidRDefault="00E27D34">
            <w:pPr>
              <w:rPr>
                <w:sz w:val="20"/>
                <w:lang w:eastAsia="lt-LT"/>
              </w:rPr>
            </w:pPr>
            <w:r>
              <w:rPr>
                <w:sz w:val="20"/>
                <w:lang w:eastAsia="lt-LT"/>
              </w:rPr>
              <w:t>Darbininkai (su mėnesiniu</w:t>
            </w:r>
            <w:r>
              <w:rPr>
                <w:sz w:val="20"/>
                <w:lang w:eastAsia="lt-LT"/>
              </w:rPr>
              <w:t xml:space="preserve"> tarnybiniu atlyginimu)</w:t>
            </w:r>
          </w:p>
        </w:tc>
        <w:tc>
          <w:tcPr>
            <w:tcW w:w="0" w:type="auto"/>
          </w:tcPr>
          <w:p w14:paraId="5D7F3E9D" w14:textId="77777777" w:rsidR="00807272" w:rsidRDefault="00E27D34">
            <w:pPr>
              <w:rPr>
                <w:sz w:val="20"/>
                <w:lang w:eastAsia="lt-LT"/>
              </w:rPr>
            </w:pPr>
            <w:r>
              <w:rPr>
                <w:sz w:val="20"/>
                <w:lang w:eastAsia="lt-LT"/>
              </w:rPr>
              <w:t>–</w:t>
            </w:r>
          </w:p>
        </w:tc>
        <w:tc>
          <w:tcPr>
            <w:tcW w:w="0" w:type="auto"/>
          </w:tcPr>
          <w:p w14:paraId="5D7F3E9E" w14:textId="77777777" w:rsidR="00807272" w:rsidRDefault="00E27D34">
            <w:pPr>
              <w:rPr>
                <w:sz w:val="20"/>
                <w:lang w:eastAsia="lt-LT"/>
              </w:rPr>
            </w:pPr>
            <w:r>
              <w:rPr>
                <w:sz w:val="20"/>
                <w:lang w:eastAsia="lt-LT"/>
              </w:rPr>
              <w:t>–</w:t>
            </w:r>
          </w:p>
        </w:tc>
        <w:tc>
          <w:tcPr>
            <w:tcW w:w="0" w:type="auto"/>
          </w:tcPr>
          <w:p w14:paraId="5D7F3E9F" w14:textId="77777777" w:rsidR="00807272" w:rsidRDefault="00E27D34">
            <w:pPr>
              <w:rPr>
                <w:sz w:val="20"/>
                <w:lang w:eastAsia="lt-LT"/>
              </w:rPr>
            </w:pPr>
            <w:r>
              <w:rPr>
                <w:sz w:val="20"/>
                <w:lang w:eastAsia="lt-LT"/>
              </w:rPr>
              <w:t>–</w:t>
            </w:r>
          </w:p>
        </w:tc>
        <w:tc>
          <w:tcPr>
            <w:tcW w:w="0" w:type="auto"/>
          </w:tcPr>
          <w:p w14:paraId="5D7F3EA0" w14:textId="77777777" w:rsidR="00807272" w:rsidRDefault="00E27D34">
            <w:pPr>
              <w:rPr>
                <w:sz w:val="20"/>
                <w:lang w:eastAsia="lt-LT"/>
              </w:rPr>
            </w:pPr>
            <w:r>
              <w:rPr>
                <w:sz w:val="20"/>
                <w:lang w:eastAsia="lt-LT"/>
              </w:rPr>
              <w:t>–</w:t>
            </w:r>
          </w:p>
        </w:tc>
        <w:tc>
          <w:tcPr>
            <w:tcW w:w="0" w:type="auto"/>
          </w:tcPr>
          <w:p w14:paraId="5D7F3EA1" w14:textId="77777777" w:rsidR="00807272" w:rsidRDefault="00E27D34">
            <w:pPr>
              <w:rPr>
                <w:sz w:val="20"/>
                <w:lang w:eastAsia="lt-LT"/>
              </w:rPr>
            </w:pPr>
            <w:r>
              <w:rPr>
                <w:sz w:val="20"/>
                <w:lang w:eastAsia="lt-LT"/>
              </w:rPr>
              <w:t>4,21–5,5</w:t>
            </w:r>
          </w:p>
        </w:tc>
      </w:tr>
    </w:tbl>
    <w:p w14:paraId="0515AE3D" w14:textId="33A517AE" w:rsidR="00E27D34" w:rsidRDefault="00E27D34">
      <w:pPr>
        <w:ind w:firstLine="709"/>
        <w:jc w:val="both"/>
        <w:rPr>
          <w:color w:val="000000"/>
        </w:rPr>
      </w:pPr>
      <w:r>
        <w:rPr>
          <w:color w:val="000000"/>
        </w:rPr>
        <w:t xml:space="preserve">Pastabos: </w:t>
      </w:r>
    </w:p>
    <w:p w14:paraId="5D7F3EA3" w14:textId="7F2A99E8" w:rsidR="00807272" w:rsidRDefault="00E27D34">
      <w:pPr>
        <w:ind w:firstLine="709"/>
        <w:jc w:val="both"/>
        <w:rPr>
          <w:color w:val="000000"/>
        </w:rPr>
      </w:pPr>
      <w:r>
        <w:rPr>
          <w:color w:val="000000"/>
        </w:rPr>
        <w:t>1. Vyresniųjų buhalterių, vykdančių vyriausiojo buhalterio funkcijas (kai yra tik vienas apskaitos darbuotojas), tarnybiniai atlyginimai nustatomi kaip vyriausiųjų buhalterių.</w:t>
      </w:r>
    </w:p>
    <w:p w14:paraId="5D7F3EA4" w14:textId="77777777" w:rsidR="00807272" w:rsidRDefault="00E27D34">
      <w:pPr>
        <w:ind w:firstLine="709"/>
        <w:jc w:val="both"/>
        <w:rPr>
          <w:color w:val="000000"/>
        </w:rPr>
      </w:pPr>
      <w:r>
        <w:rPr>
          <w:color w:val="000000"/>
        </w:rPr>
        <w:t>2</w:t>
      </w:r>
      <w:r>
        <w:rPr>
          <w:color w:val="000000"/>
        </w:rPr>
        <w:t>. Specialistams nustatytą</w:t>
      </w:r>
      <w:r>
        <w:rPr>
          <w:color w:val="000000"/>
        </w:rPr>
        <w:t>ja tvarka gali būti suteikiamos šios kategorijos: vyriausiasis (aukščiausiosios kategorijos) specialistas, vyresnysis (vadovaujantysis) specialistas, specialistas.</w:t>
      </w:r>
    </w:p>
    <w:p w14:paraId="5D7F3EA5" w14:textId="3822F226" w:rsidR="00807272" w:rsidRDefault="00E27D34">
      <w:pPr>
        <w:ind w:firstLine="709"/>
        <w:jc w:val="both"/>
        <w:rPr>
          <w:color w:val="000000"/>
        </w:rPr>
      </w:pPr>
      <w:r>
        <w:rPr>
          <w:color w:val="000000"/>
        </w:rPr>
        <w:t>3</w:t>
      </w:r>
      <w:r>
        <w:rPr>
          <w:color w:val="000000"/>
        </w:rPr>
        <w:t xml:space="preserve">. Kultūros ministerija, Švietimo ir mokslo ministerija, Sveikatos apsaugos ministerija </w:t>
      </w:r>
      <w:r>
        <w:rPr>
          <w:color w:val="000000"/>
        </w:rPr>
        <w:t>sudaro ir suderinusios su Finansų ministerija ir Socialinės apsaugos ir darbo ministerija patvirtina pareigų sąrašus, kuriais vadovaujantis visose biudžetinėse įstaigose ir organizacijose šie darbuotojai priskiriami prie pedagogų, kultūros ir meno darbuoto</w:t>
      </w:r>
      <w:r>
        <w:rPr>
          <w:color w:val="000000"/>
        </w:rPr>
        <w:t>jų ar medicinos personalo. Socialinės apsaugos ir darbo ministerija, suderinusi su Finansų ministerija, tvirtina socialinių darbuotojų pareigų sąrašą, kuriuo vadovaujantis darbuotojai priskiriami prie socialinių darbuotojų personalo.</w:t>
      </w:r>
    </w:p>
    <w:p w14:paraId="5D7F3EA7" w14:textId="1061A083" w:rsidR="00807272" w:rsidRDefault="00E27D34" w:rsidP="00E27D34">
      <w:pPr>
        <w:jc w:val="center"/>
      </w:pPr>
      <w:r>
        <w:rPr>
          <w:color w:val="000000"/>
        </w:rPr>
        <w:t>______________</w:t>
      </w:r>
    </w:p>
    <w:bookmarkStart w:id="0" w:name="_GoBack" w:displacedByCustomXml="next"/>
    <w:bookmarkEnd w:id="0" w:displacedByCustomXml="next"/>
    <w:sectPr w:rsidR="00807272">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F3EAB" w14:textId="77777777" w:rsidR="00807272" w:rsidRDefault="00E27D34">
      <w:r>
        <w:separator/>
      </w:r>
    </w:p>
  </w:endnote>
  <w:endnote w:type="continuationSeparator" w:id="0">
    <w:p w14:paraId="5D7F3EAC" w14:textId="77777777" w:rsidR="00807272" w:rsidRDefault="00E2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F3EB1" w14:textId="77777777" w:rsidR="00807272" w:rsidRDefault="0080727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F3EB2" w14:textId="77777777" w:rsidR="00807272" w:rsidRDefault="0080727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F3EB4" w14:textId="77777777" w:rsidR="00807272" w:rsidRDefault="0080727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F3EA9" w14:textId="77777777" w:rsidR="00807272" w:rsidRDefault="00E27D34">
      <w:r>
        <w:separator/>
      </w:r>
    </w:p>
  </w:footnote>
  <w:footnote w:type="continuationSeparator" w:id="0">
    <w:p w14:paraId="5D7F3EAA" w14:textId="77777777" w:rsidR="00807272" w:rsidRDefault="00E27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F3EAD" w14:textId="77777777" w:rsidR="00807272" w:rsidRDefault="00E27D3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D7F3EAE" w14:textId="77777777" w:rsidR="00807272" w:rsidRDefault="0080727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F3EAF" w14:textId="77777777" w:rsidR="00807272" w:rsidRDefault="00E27D3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w:t>
    </w:r>
    <w:r>
      <w:rPr>
        <w:lang w:val="en-GB"/>
      </w:rPr>
      <w:fldChar w:fldCharType="end"/>
    </w:r>
  </w:p>
  <w:p w14:paraId="5D7F3EB0" w14:textId="77777777" w:rsidR="00807272" w:rsidRDefault="0080727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F3EB3" w14:textId="77777777" w:rsidR="00807272" w:rsidRDefault="0080727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B3"/>
    <w:rsid w:val="00807272"/>
    <w:rsid w:val="00E27D34"/>
    <w:rsid w:val="00E352B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7F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27D3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27D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3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5316D588106"/>
  <Relationship Id="rId11" Type="http://schemas.openxmlformats.org/officeDocument/2006/relationships/hyperlink" TargetMode="External" Target="https://www.e-tar.lt/portal/lt/legalAct/TAR.A29913C2F41D"/>
  <Relationship Id="rId12" Type="http://schemas.openxmlformats.org/officeDocument/2006/relationships/hyperlink" TargetMode="External" Target="https://www.e-tar.lt/portal/lt/legalAct/TAR.2F8015F39CCB"/>
  <Relationship Id="rId13" Type="http://schemas.openxmlformats.org/officeDocument/2006/relationships/hyperlink" TargetMode="External" Target="https://www.e-tar.lt/portal/lt/legalAct/TAR.A0ADE01DC8B0"/>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4B"/>
    <w:rsid w:val="004061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0614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061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2406</Words>
  <Characters>1372</Characters>
  <Application>Microsoft Office Word</Application>
  <DocSecurity>0</DocSecurity>
  <Lines>11</Lines>
  <Paragraphs>7</Paragraphs>
  <ScaleCrop>false</ScaleCrop>
  <Company/>
  <LinksUpToDate>false</LinksUpToDate>
  <CharactersWithSpaces>3771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2015-08-11T03:54:00Z</dcterms:created>
  <dc:creator>User</dc:creator>
  <lastModifiedBy>BODIN Aušra</lastModifiedBy>
  <dcterms:modified xsi:type="dcterms:W3CDTF">2019-10-02T07:38:00Z</dcterms:modified>
  <revision>3</revision>
</coreProperties>
</file>