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ĮGALIOJIMŲ SUTEIKIMO TEISINGUMO MINISTERIJAI</w:t>
      </w:r>
    </w:p>
    <w:p>
      <w:pPr>
        <w:jc w:val="center"/>
        <w:rPr>
          <w:color w:val="000000"/>
        </w:rPr>
      </w:pPr>
    </w:p>
    <w:p>
      <w:pPr>
        <w:jc w:val="center"/>
        <w:rPr>
          <w:color w:val="000000"/>
        </w:rPr>
      </w:pPr>
      <w:r>
        <w:rPr>
          <w:color w:val="000000"/>
        </w:rPr>
        <w:t>2004 m. gegužės 14 d. Nr. 578</w:t>
      </w:r>
    </w:p>
    <w:p>
      <w:pPr>
        <w:jc w:val="center"/>
        <w:rPr>
          <w:color w:val="000000"/>
        </w:rPr>
      </w:pPr>
      <w:r>
        <w:rPr>
          <w:color w:val="000000"/>
        </w:rPr>
        <w:t>Vilnius</w:t>
      </w:r>
    </w:p>
    <w:p>
      <w:pPr>
        <w:jc w:val="center"/>
        <w:rPr>
          <w:color w:val="000000"/>
        </w:rPr>
      </w:pPr>
    </w:p>
    <w:p>
      <w:pPr>
        <w:ind w:firstLine="708"/>
        <w:jc w:val="both"/>
        <w:rPr>
          <w:color w:val="000000"/>
        </w:rPr>
      </w:pPr>
      <w:r>
        <w:rPr>
          <w:color w:val="000000"/>
        </w:rPr>
        <w:t xml:space="preserve">Vadovaudamasi Lietuvos Respublikos bausmių vykdymo kodekso (Žin., 2002, Nr. </w:t>
      </w:r>
      <w:fldSimple w:instr="HYPERLINK https://www.e-tar.lt/portal/lt/legalAct/TAR.A0A0CCC6B997 \t _blank">
        <w:r>
          <w:rPr>
            <w:color w:val="0000FF" w:themeColor="hyperlink"/>
            <w:u w:val="single"/>
          </w:rPr>
          <w:t>73-3084</w:t>
        </w:r>
      </w:fldSimple>
      <w:r>
        <w:rPr>
          <w:color w:val="000000"/>
        </w:rPr>
        <w:t xml:space="preserve">) 173 straipsnio 7 dalimi ir Lietuvos Respublikos kardomojo kalinimo įstatymo (Žin., 1996, Nr. </w:t>
      </w:r>
      <w:fldSimple w:instr="HYPERLINK https://www.e-tar.lt/portal/lt/legalAct/TAR.11A8B08A7405 \t _blank">
        <w:r>
          <w:rPr>
            <w:color w:val="0000FF" w:themeColor="hyperlink"/>
            <w:u w:val="single"/>
          </w:rPr>
          <w:t>12-313</w:t>
        </w:r>
      </w:fldSimple>
      <w:r>
        <w:rPr>
          <w:color w:val="000000"/>
        </w:rPr>
        <w:t xml:space="preserve">; 2004, Nr. </w:t>
      </w:r>
      <w:fldSimple w:instr="HYPERLINK https://www.e-tar.lt/portal/lt/legalAct/TAR.9C7D2C4C5AE0 \t _blank">
        <w:r>
          <w:rPr>
            <w:color w:val="0000FF" w:themeColor="hyperlink"/>
            <w:u w:val="single"/>
          </w:rPr>
          <w:t>47-1549</w:t>
        </w:r>
      </w:fldSimple>
      <w:r>
        <w:rPr>
          <w:color w:val="000000"/>
        </w:rPr>
        <w:t xml:space="preserve">) 18 straipsnio 8 dalimi, Lietuvos Respublikos Vyriausybė </w:t>
      </w:r>
      <w:r>
        <w:rPr>
          <w:color w:val="000000"/>
          <w:spacing w:val="60"/>
        </w:rPr>
        <w:t>nutari</w:t>
      </w:r>
      <w:r>
        <w:rPr>
          <w:color w:val="000000"/>
        </w:rPr>
        <w:t>a:</w:t>
      </w:r>
    </w:p>
    <w:p>
      <w:pPr>
        <w:ind w:firstLine="708"/>
        <w:jc w:val="both"/>
        <w:rPr>
          <w:color w:val="000000"/>
        </w:rPr>
      </w:pPr>
      <w:r>
        <w:rPr>
          <w:color w:val="000000"/>
        </w:rPr>
        <w:t>1</w:t>
      </w:r>
      <w:r>
        <w:rPr>
          <w:color w:val="000000"/>
        </w:rPr>
        <w:t xml:space="preserve">. Įgalioti Teisingumo ministeriją patvirtinti iki 2004 m. birželio 15 d., suderinus su Sveikatos apsaugos ministerija ir Finansų ministerija, arešto, terminuoto laisvės atėmimo ir laisvės atėmimo iki gyvos galvos bausmes atliekančių nuteistųjų, suimtųjų ir vaikų (kūdikių), esančių pataisos namų vaikų (kūdikių) namuose, materialinio buitinio aprūpinimo normas. </w:t>
      </w:r>
    </w:p>
    <w:p>
      <w:pPr>
        <w:ind w:firstLine="708"/>
        <w:jc w:val="both"/>
        <w:rPr>
          <w:color w:val="000000"/>
        </w:rPr>
      </w:pPr>
      <w:r>
        <w:rPr>
          <w:color w:val="000000"/>
        </w:rPr>
        <w:t>2</w:t>
      </w:r>
      <w:r>
        <w:rPr>
          <w:color w:val="000000"/>
        </w:rPr>
        <w:t xml:space="preserve">. Pripažinti netekusiu galios nuo 2004 m. birželio 15 d. Lietuvos Respublikos Vyriausybės 1995 m. vasario 2 d. nutarimą Nr. 171 „Dėl asmenų, atliekančių bausmę pataisos darbų įstaigose, laikomų tardymo izoliatoriuose ir pasiųstų į socialinės bei psichologinės reabilitacijos įstaigas, aprūpinimo apranga, patalyne, baldais bei virtuvės inventoriumi“ (Žin., 1995, Nr. </w:t>
      </w:r>
      <w:fldSimple w:instr="HYPERLINK https://www.e-tar.lt/portal/lt/legalAct/TAR.918145211CA7 \t _blank">
        <w:r>
          <w:rPr>
            <w:color w:val="0000FF" w:themeColor="hyperlink"/>
            <w:u w:val="single"/>
          </w:rPr>
          <w:t>12-291</w:t>
        </w:r>
      </w:fldSimple>
      <w:r>
        <w:rPr>
          <w:color w:val="000000"/>
        </w:rPr>
        <w:t>).</w:t>
      </w:r>
    </w:p>
    <w:p>
      <w:pPr>
        <w:ind w:firstLine="708"/>
        <w:rPr>
          <w:color w:val="000000"/>
        </w:rPr>
      </w:pPr>
    </w:p>
    <w:p>
      <w:pPr>
        <w:ind w:firstLine="708"/>
        <w:rPr>
          <w:color w:val="000000"/>
        </w:rPr>
      </w:pPr>
    </w:p>
    <w:p>
      <w:pPr>
        <w:tabs>
          <w:tab w:val="right" w:pos="9639"/>
        </w:tabs>
      </w:pPr>
      <w:r>
        <w:t>MINISTRAS PIRMININKAS</w:t>
        <w:tab/>
        <w:t>ALGIRDAS BRAZAUSKAS</w:t>
      </w:r>
    </w:p>
    <w:p>
      <w:pPr>
        <w:tabs>
          <w:tab w:val="right" w:pos="9639"/>
        </w:tabs>
      </w:pPr>
    </w:p>
    <w:p>
      <w:pPr>
        <w:tabs>
          <w:tab w:val="right" w:pos="9639"/>
        </w:tabs>
      </w:pPr>
      <w:r>
        <w:t>TEISINGUMO MINISTRAS</w:t>
        <w:tab/>
        <w:t>VYTAUTAS MARKEVIČIUS</w:t>
      </w:r>
    </w:p>
    <w:p>
      <w:pPr>
        <w:tabs>
          <w:tab w:val="right" w:pos="9639"/>
        </w:tabs>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1088</Characters>
  <Application>Microsoft Office Word</Application>
  <DocSecurity>4</DocSecurity>
  <Lines>25</Lines>
  <Paragraphs>12</Paragraphs>
  <ScaleCrop>false</ScaleCrop>
  <Company/>
  <LinksUpToDate>false</LinksUpToDate>
  <CharactersWithSpaces>1242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2015-06-01T23:35:00Z</dcterms:created>
  <dc:creator>User</dc:creator>
  <lastModifiedBy>Adlib User</lastModifiedBy>
  <dcterms:modified xsi:type="dcterms:W3CDTF">2015-06-01T23:35:00Z</dcterms:modified>
  <revision>2</revision>
</coreProperties>
</file>