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E5" w:rsidRDefault="004B3EE5">
      <w:pPr>
        <w:tabs>
          <w:tab w:val="center" w:pos="4153"/>
          <w:tab w:val="right" w:pos="8306"/>
        </w:tabs>
        <w:rPr>
          <w:lang w:val="en-GB"/>
        </w:rPr>
      </w:pPr>
    </w:p>
    <w:p w:rsidR="004B3EE5" w:rsidRDefault="00267D76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  <w:color w:val="000000"/>
        </w:rPr>
        <w:t>LIETUVOS RESPUBLIKOS SVEIKATOS APSAUGOS MINISTRAS</w:t>
      </w:r>
    </w:p>
    <w:p w:rsidR="004B3EE5" w:rsidRDefault="004B3EE5">
      <w:pPr>
        <w:jc w:val="center"/>
        <w:rPr>
          <w:color w:val="000000"/>
        </w:rPr>
      </w:pPr>
    </w:p>
    <w:p w:rsidR="004B3EE5" w:rsidRDefault="00267D76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:rsidR="004B3EE5" w:rsidRDefault="00267D76">
      <w:pPr>
        <w:jc w:val="center"/>
        <w:rPr>
          <w:b/>
          <w:color w:val="000000"/>
        </w:rPr>
      </w:pPr>
      <w:r>
        <w:rPr>
          <w:b/>
          <w:color w:val="000000"/>
        </w:rPr>
        <w:t>DĖL UŽKREČIAMŲJŲ LIGŲ IR JŲ SUKĖLĖJŲ, KURIE GALI BŪTI PANAUDOTI KAIP BIOLOGINIS AGENTAS, SĄRAŠO PATVIRTINIMO</w:t>
      </w:r>
    </w:p>
    <w:p w:rsidR="004B3EE5" w:rsidRDefault="004B3EE5">
      <w:pPr>
        <w:jc w:val="center"/>
        <w:rPr>
          <w:color w:val="000000"/>
        </w:rPr>
      </w:pPr>
    </w:p>
    <w:p w:rsidR="004B3EE5" w:rsidRDefault="00267D76">
      <w:pPr>
        <w:jc w:val="center"/>
        <w:rPr>
          <w:color w:val="000000"/>
        </w:rPr>
      </w:pPr>
      <w:r>
        <w:rPr>
          <w:color w:val="000000"/>
        </w:rPr>
        <w:t>2003 m. balandžio 7 d. Nr. V-197</w:t>
      </w:r>
    </w:p>
    <w:p w:rsidR="004B3EE5" w:rsidRDefault="00267D76">
      <w:pPr>
        <w:jc w:val="center"/>
        <w:rPr>
          <w:color w:val="000000"/>
        </w:rPr>
      </w:pPr>
      <w:r>
        <w:rPr>
          <w:color w:val="000000"/>
        </w:rPr>
        <w:t>Vilnius</w:t>
      </w:r>
    </w:p>
    <w:p w:rsidR="004B3EE5" w:rsidRDefault="004B3EE5">
      <w:pPr>
        <w:ind w:firstLine="709"/>
        <w:jc w:val="both"/>
        <w:rPr>
          <w:color w:val="000000"/>
        </w:rPr>
      </w:pPr>
    </w:p>
    <w:p w:rsidR="004B3EE5" w:rsidRDefault="00267D76">
      <w:pPr>
        <w:ind w:firstLine="709"/>
        <w:jc w:val="both"/>
        <w:rPr>
          <w:color w:val="000000"/>
        </w:rPr>
      </w:pPr>
      <w:r>
        <w:rPr>
          <w:color w:val="000000"/>
        </w:rPr>
        <w:t>Si</w:t>
      </w:r>
      <w:r>
        <w:rPr>
          <w:color w:val="000000"/>
        </w:rPr>
        <w:t>ekdamas tobulinti užkrečiamųjų ligų epidemiologinės priežiūros, greito atsako ir reagavimo sistemą bei apsaugoti Lietuvos Respublikos gyventojus nuo pavojingų ir ypač pavojingų užkrečiamųjų ligų išplitimo:</w:t>
      </w:r>
    </w:p>
    <w:p w:rsidR="004B3EE5" w:rsidRDefault="00267D76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Užkrečiamųjų ligų ir jų sukėlėjų, </w:t>
      </w:r>
      <w:r>
        <w:rPr>
          <w:color w:val="000000"/>
        </w:rPr>
        <w:t>kurie gali būti panaudoti kaip biologinis agentas, sąrašą (pridedama).</w:t>
      </w:r>
    </w:p>
    <w:p w:rsidR="004B3EE5" w:rsidRDefault="00267D76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Paved</w:t>
      </w:r>
      <w:r>
        <w:rPr>
          <w:color w:val="000000"/>
        </w:rPr>
        <w:t>u:</w:t>
      </w:r>
    </w:p>
    <w:p w:rsidR="004B3EE5" w:rsidRDefault="00267D76">
      <w:pPr>
        <w:ind w:firstLine="709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asmens ir visuomenės sveikatos priežiūros įstaigų vadovams, įtarus Užkrečiamųjų ligų ir jų sukėlėjų, kurie gali būti panaudoti kaip biologinis agentas, sąraše nuro</w:t>
      </w:r>
      <w:r>
        <w:rPr>
          <w:color w:val="000000"/>
        </w:rPr>
        <w:t xml:space="preserve">dytas užkrečiamąsias ligas, teikti informaciją Lietuvos Respublikos sveikatos apsaugos ministro 2002 m. kovo 12 d. įsakymu Nr. 122 „Dėl skubios informacijos apie užkrečiamąsias ligas teikimo tvarkos patvirtinimo“ (Žin., 2002, Nr. </w:t>
      </w:r>
      <w:hyperlink r:id="rId9" w:tgtFrame="_blank" w:history="1">
        <w:r>
          <w:rPr>
            <w:color w:val="0000FF" w:themeColor="hyperlink"/>
            <w:u w:val="single"/>
          </w:rPr>
          <w:t>30-1095</w:t>
        </w:r>
      </w:hyperlink>
      <w:r>
        <w:rPr>
          <w:color w:val="000000"/>
        </w:rPr>
        <w:t>) nustatyta tvarka;</w:t>
      </w:r>
    </w:p>
    <w:p w:rsidR="004B3EE5" w:rsidRDefault="00267D76">
      <w:pPr>
        <w:tabs>
          <w:tab w:val="left" w:pos="270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>2.2</w:t>
      </w:r>
      <w:r>
        <w:rPr>
          <w:color w:val="000000"/>
          <w:szCs w:val="22"/>
        </w:rPr>
        <w:t>. Lietuvos AIDS centrui ir Vilniaus visuomenės sveikatos centrui įdiegti Užkrečiamųjų ligų ir jų sukėlėjų, kurie gali būti panaudoti kaip biologinis agentas, sąraše nuro</w:t>
      </w:r>
      <w:r>
        <w:rPr>
          <w:color w:val="000000"/>
          <w:szCs w:val="22"/>
        </w:rPr>
        <w:t>dytų ligų sukėlėjų mikrobiologinę diagnostiką bei sudaryti su kitų valstybių mikrobiologijos laboratorijomis bendradarbiavimo sutartis dėl užkrečiamųjų ligų, sukėlėjų, kurių laboratorinę diagnostiką atlikti Lietuvoje nėra galimybės, nustatymo;</w:t>
      </w:r>
    </w:p>
    <w:p w:rsidR="004B3EE5" w:rsidRDefault="00267D76">
      <w:pPr>
        <w:ind w:firstLine="709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>. Eks</w:t>
      </w:r>
      <w:r>
        <w:rPr>
          <w:color w:val="000000"/>
        </w:rPr>
        <w:t>tremalių sveikatai situacijų centrui, sudarant Lietuvos Respublikos valstybės rezervo medicinos materialinių išteklių atsargas, atsižvelgti į Užkrečiamųjų ligų ir jų sukėlėjų, kurie gali būti panaudoti kaip biologinis agentas, sąraše išvardytas užkrečiamąs</w:t>
      </w:r>
      <w:r>
        <w:rPr>
          <w:color w:val="000000"/>
        </w:rPr>
        <w:t>ias ligas ir jų sukėlėjus;</w:t>
      </w:r>
    </w:p>
    <w:p w:rsidR="004B3EE5" w:rsidRDefault="00267D76">
      <w:pPr>
        <w:ind w:firstLine="709"/>
        <w:jc w:val="both"/>
        <w:rPr>
          <w:color w:val="000000"/>
        </w:rPr>
      </w:pPr>
      <w:r>
        <w:rPr>
          <w:color w:val="000000"/>
        </w:rPr>
        <w:t>2.4</w:t>
      </w:r>
      <w:r>
        <w:rPr>
          <w:color w:val="000000"/>
        </w:rPr>
        <w:t>. įsakymo vykdymą kontroliuoti ministerijos sekretoriui Eduardui Bartkevičiui.</w:t>
      </w:r>
    </w:p>
    <w:p w:rsidR="00267D76" w:rsidRDefault="00267D76">
      <w:pPr>
        <w:tabs>
          <w:tab w:val="right" w:pos="9639"/>
        </w:tabs>
      </w:pPr>
    </w:p>
    <w:p w:rsidR="00267D76" w:rsidRDefault="00267D76">
      <w:pPr>
        <w:tabs>
          <w:tab w:val="right" w:pos="9639"/>
        </w:tabs>
      </w:pPr>
    </w:p>
    <w:p w:rsidR="00267D76" w:rsidRDefault="00267D76">
      <w:pPr>
        <w:tabs>
          <w:tab w:val="right" w:pos="9639"/>
        </w:tabs>
      </w:pPr>
    </w:p>
    <w:p w:rsidR="004B3EE5" w:rsidRDefault="00267D76" w:rsidP="00267D76">
      <w:pPr>
        <w:tabs>
          <w:tab w:val="right" w:pos="9639"/>
        </w:tabs>
        <w:rPr>
          <w:color w:val="000000"/>
        </w:rPr>
      </w:pPr>
      <w:r>
        <w:rPr>
          <w:caps/>
        </w:rPr>
        <w:t>SVEIKATOS APSAUGOS MINISTRAS</w:t>
      </w:r>
      <w:r>
        <w:rPr>
          <w:caps/>
        </w:rPr>
        <w:tab/>
        <w:t>JUOZAS OLEKAS</w:t>
      </w:r>
    </w:p>
    <w:p w:rsidR="00267D76" w:rsidRDefault="00267D76">
      <w:pPr>
        <w:snapToGrid w:val="0"/>
        <w:ind w:firstLine="5102"/>
        <w:sectPr w:rsidR="00267D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4B3EE5" w:rsidRDefault="00267D76">
      <w:pPr>
        <w:snapToGrid w:val="0"/>
        <w:ind w:firstLine="5102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lastRenderedPageBreak/>
        <w:t>PATVIRTINTA</w:t>
      </w:r>
    </w:p>
    <w:p w:rsidR="004B3EE5" w:rsidRDefault="00267D76">
      <w:pPr>
        <w:snapToGrid w:val="0"/>
        <w:ind w:firstLine="5102"/>
        <w:rPr>
          <w:color w:val="000000"/>
          <w:szCs w:val="22"/>
          <w:lang w:eastAsia="lt-LT"/>
        </w:rPr>
      </w:pPr>
      <w:r>
        <w:rPr>
          <w:color w:val="000000"/>
          <w:szCs w:val="22"/>
          <w:lang w:eastAsia="lt-LT"/>
        </w:rPr>
        <w:t>Lietuvos Respublikos sveikatos apsaugos</w:t>
      </w:r>
    </w:p>
    <w:p w:rsidR="004B3EE5" w:rsidRDefault="00267D76">
      <w:pPr>
        <w:snapToGrid w:val="0"/>
        <w:ind w:firstLine="5102"/>
        <w:rPr>
          <w:color w:val="000000"/>
          <w:szCs w:val="22"/>
          <w:lang w:eastAsia="lt-LT"/>
        </w:rPr>
      </w:pPr>
      <w:r>
        <w:rPr>
          <w:color w:val="000000"/>
          <w:szCs w:val="22"/>
          <w:lang w:eastAsia="lt-LT"/>
        </w:rPr>
        <w:t xml:space="preserve">ministro 2003 m. </w:t>
      </w:r>
      <w:r>
        <w:rPr>
          <w:color w:val="000000"/>
          <w:szCs w:val="22"/>
          <w:lang w:eastAsia="lt-LT"/>
        </w:rPr>
        <w:t>balandžio 7 d. įsakymu</w:t>
      </w:r>
    </w:p>
    <w:p w:rsidR="004B3EE5" w:rsidRDefault="00267D76">
      <w:pPr>
        <w:snapToGrid w:val="0"/>
        <w:ind w:firstLine="5102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Nr. V-197</w:t>
      </w:r>
    </w:p>
    <w:p w:rsidR="004B3EE5" w:rsidRDefault="004B3EE5">
      <w:pPr>
        <w:ind w:firstLine="709"/>
        <w:jc w:val="both"/>
        <w:rPr>
          <w:color w:val="000000"/>
        </w:rPr>
      </w:pPr>
    </w:p>
    <w:p w:rsidR="004B3EE5" w:rsidRDefault="00267D76">
      <w:pPr>
        <w:snapToGrid w:val="0"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szCs w:val="22"/>
          <w:lang w:eastAsia="lt-LT"/>
        </w:rPr>
        <w:t>Užkrečiamųjų ligų ir jų sukėlėjų, kurie gali būti panaudoti kaip biologinis agentas, sąrašas</w:t>
      </w:r>
    </w:p>
    <w:p w:rsidR="004B3EE5" w:rsidRDefault="004B3EE5">
      <w:pPr>
        <w:ind w:firstLine="709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4B3EE5">
        <w:tc>
          <w:tcPr>
            <w:tcW w:w="4927" w:type="dxa"/>
            <w:tcBorders>
              <w:left w:val="nil"/>
              <w:bottom w:val="single" w:sz="4" w:space="0" w:color="auto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Liga</w:t>
            </w:r>
          </w:p>
        </w:tc>
        <w:tc>
          <w:tcPr>
            <w:tcW w:w="4928" w:type="dxa"/>
            <w:tcBorders>
              <w:bottom w:val="single" w:sz="4" w:space="0" w:color="auto"/>
              <w:right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Sukėlėjas</w:t>
            </w:r>
          </w:p>
          <w:p w:rsidR="004B3EE5" w:rsidRDefault="004B3EE5">
            <w:pPr>
              <w:rPr>
                <w:color w:val="000000"/>
              </w:rPr>
            </w:pPr>
          </w:p>
        </w:tc>
      </w:tr>
      <w:tr w:rsidR="004B3EE5">
        <w:tc>
          <w:tcPr>
            <w:tcW w:w="4927" w:type="dxa"/>
            <w:tcBorders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A kategorija</w:t>
            </w:r>
          </w:p>
        </w:tc>
        <w:tc>
          <w:tcPr>
            <w:tcW w:w="4928" w:type="dxa"/>
            <w:tcBorders>
              <w:bottom w:val="nil"/>
            </w:tcBorders>
          </w:tcPr>
          <w:p w:rsidR="004B3EE5" w:rsidRDefault="004B3EE5">
            <w:pPr>
              <w:rPr>
                <w:color w:val="000000"/>
              </w:rPr>
            </w:pP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1. Raupai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Variola major</w:t>
            </w: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2. Beždžionių raupai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Orthopoxviruse</w:t>
            </w: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3. Juodligė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Bacillus anthracis</w:t>
            </w: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4. Maras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Yersinia pestis</w:t>
            </w: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5. Botulizmas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Clostridium botulinum</w:t>
            </w: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6. Tuliaremija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Francisella tularensis</w:t>
            </w:r>
          </w:p>
        </w:tc>
      </w:tr>
      <w:tr w:rsidR="004B3EE5">
        <w:tc>
          <w:tcPr>
            <w:tcW w:w="4927" w:type="dxa"/>
            <w:tcBorders>
              <w:top w:val="nil"/>
              <w:bottom w:val="single" w:sz="4" w:space="0" w:color="auto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7. Virusinės hemoraginės karštligės</w:t>
            </w:r>
          </w:p>
        </w:tc>
        <w:tc>
          <w:tcPr>
            <w:tcW w:w="4928" w:type="dxa"/>
            <w:tcBorders>
              <w:top w:val="nil"/>
              <w:bottom w:val="single" w:sz="4" w:space="0" w:color="auto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 xml:space="preserve">Ebola virusas, Lassa virusas, Marburgo virusas, Junin virusas, Krymo-Kongo hemoraginės karštligės virusas, Machupo </w:t>
            </w:r>
            <w:r>
              <w:rPr>
                <w:color w:val="000000"/>
              </w:rPr>
              <w:t>virusas</w:t>
            </w:r>
          </w:p>
        </w:tc>
      </w:tr>
      <w:tr w:rsidR="004B3EE5">
        <w:tc>
          <w:tcPr>
            <w:tcW w:w="4927" w:type="dxa"/>
            <w:tcBorders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B kategorija</w:t>
            </w:r>
          </w:p>
        </w:tc>
        <w:tc>
          <w:tcPr>
            <w:tcW w:w="4928" w:type="dxa"/>
            <w:tcBorders>
              <w:bottom w:val="nil"/>
            </w:tcBorders>
          </w:tcPr>
          <w:p w:rsidR="004B3EE5" w:rsidRDefault="004B3EE5">
            <w:pPr>
              <w:rPr>
                <w:color w:val="000000"/>
              </w:rPr>
            </w:pP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8. Ku karštligė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Coxiella burnetti</w:t>
            </w: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9. Bruceliozė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Brucella spp.</w:t>
            </w: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10. Įnosės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Burkholderia mallei (Pseudomonas mallei)</w:t>
            </w: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11. Melioidozė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Burkholderia pseudomallei (Pseudomonas pseudomallei)</w:t>
            </w: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12. Encefalitai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 xml:space="preserve">Rytų arklių encefalito </w:t>
            </w:r>
            <w:r>
              <w:rPr>
                <w:color w:val="000000"/>
              </w:rPr>
              <w:t>virusas, Venesuelos arklių encefalito virusas, Vakarų arklių encefalito virusas</w:t>
            </w: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13. Epideminė šiltinė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Rickettsia prowazekii</w:t>
            </w: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14. Toksinis sindromas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 xml:space="preserve">Toksinai (pvz., </w:t>
            </w:r>
            <w:r>
              <w:rPr>
                <w:i/>
                <w:iCs/>
                <w:color w:val="000000"/>
              </w:rPr>
              <w:t>Ricin</w:t>
            </w:r>
            <w:r>
              <w:rPr>
                <w:color w:val="000000"/>
              </w:rPr>
              <w:t xml:space="preserve">, stafilokokinis enterotoksinas B, </w:t>
            </w:r>
            <w:r>
              <w:rPr>
                <w:i/>
                <w:iCs/>
                <w:color w:val="000000"/>
              </w:rPr>
              <w:t>staphylococcus aureus</w:t>
            </w:r>
            <w:r>
              <w:rPr>
                <w:color w:val="000000"/>
              </w:rPr>
              <w:t xml:space="preserve"> toksinas, </w:t>
            </w:r>
            <w:r>
              <w:rPr>
                <w:i/>
                <w:iCs/>
                <w:color w:val="000000"/>
              </w:rPr>
              <w:t>Clostridium perfrin</w:t>
            </w:r>
            <w:r>
              <w:rPr>
                <w:i/>
                <w:iCs/>
                <w:color w:val="000000"/>
              </w:rPr>
              <w:t>gens</w:t>
            </w:r>
            <w:r>
              <w:rPr>
                <w:color w:val="000000"/>
              </w:rPr>
              <w:t xml:space="preserve"> toksinas)</w:t>
            </w: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15. Psitakozė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Chlamydia psittaci</w:t>
            </w: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16. Per maistą plintančios ligos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(pvz., Salmonella spp., Escherichia coli O157:H7)</w:t>
            </w:r>
          </w:p>
        </w:tc>
      </w:tr>
      <w:tr w:rsidR="004B3EE5">
        <w:tc>
          <w:tcPr>
            <w:tcW w:w="4927" w:type="dxa"/>
            <w:tcBorders>
              <w:top w:val="nil"/>
              <w:bottom w:val="single" w:sz="4" w:space="0" w:color="auto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17. Per vandenį plintančios ligos</w:t>
            </w:r>
          </w:p>
        </w:tc>
        <w:tc>
          <w:tcPr>
            <w:tcW w:w="4928" w:type="dxa"/>
            <w:tcBorders>
              <w:top w:val="nil"/>
              <w:bottom w:val="single" w:sz="4" w:space="0" w:color="auto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(pvz., Vibrio cholerae, Cryptosporidium parvum, Shigella dysenteriae)</w:t>
            </w:r>
          </w:p>
        </w:tc>
      </w:tr>
      <w:tr w:rsidR="004B3EE5">
        <w:tc>
          <w:tcPr>
            <w:tcW w:w="4927" w:type="dxa"/>
            <w:tcBorders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C kategorija</w:t>
            </w:r>
          </w:p>
          <w:p w:rsidR="004B3EE5" w:rsidRDefault="004B3EE5">
            <w:pPr>
              <w:rPr>
                <w:color w:val="000000"/>
              </w:rPr>
            </w:pPr>
          </w:p>
        </w:tc>
        <w:tc>
          <w:tcPr>
            <w:tcW w:w="4928" w:type="dxa"/>
            <w:tcBorders>
              <w:bottom w:val="nil"/>
            </w:tcBorders>
          </w:tcPr>
          <w:p w:rsidR="004B3EE5" w:rsidRDefault="004B3EE5">
            <w:pPr>
              <w:rPr>
                <w:color w:val="000000"/>
              </w:rPr>
            </w:pP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18. Hantavirusų sukeltos ligos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Hantavirusai</w:t>
            </w:r>
            <w:r>
              <w:rPr>
                <w:i/>
                <w:iCs/>
                <w:color w:val="000000"/>
              </w:rPr>
              <w:t xml:space="preserve"> (Hantaan, Sin Nombre, Seoul, Dobrava, Puumala)</w:t>
            </w: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19. Erkinis encefalitas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Rusijos pavasario–vasaros virusas, Kyasanur miškų virusas, Louping III virusas</w:t>
            </w: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20. Erkių pernešama hemoraginė karštligė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 xml:space="preserve">Erkių pernešamas </w:t>
            </w:r>
            <w:r>
              <w:rPr>
                <w:color w:val="000000"/>
              </w:rPr>
              <w:t>hemoraginės karštligės virusas</w:t>
            </w:r>
          </w:p>
        </w:tc>
      </w:tr>
      <w:tr w:rsidR="004B3EE5">
        <w:tc>
          <w:tcPr>
            <w:tcW w:w="4927" w:type="dxa"/>
            <w:tcBorders>
              <w:top w:val="nil"/>
              <w:bottom w:val="single" w:sz="4" w:space="0" w:color="auto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21. Geltonoji karštligė</w:t>
            </w:r>
          </w:p>
        </w:tc>
        <w:tc>
          <w:tcPr>
            <w:tcW w:w="4928" w:type="dxa"/>
            <w:tcBorders>
              <w:top w:val="nil"/>
              <w:bottom w:val="single" w:sz="4" w:space="0" w:color="auto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Geltonosios karštligės virusas</w:t>
            </w:r>
          </w:p>
        </w:tc>
      </w:tr>
      <w:tr w:rsidR="004B3EE5">
        <w:tc>
          <w:tcPr>
            <w:tcW w:w="4927" w:type="dxa"/>
            <w:tcBorders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KITOS LIGOS</w:t>
            </w:r>
          </w:p>
        </w:tc>
        <w:tc>
          <w:tcPr>
            <w:tcW w:w="4928" w:type="dxa"/>
            <w:tcBorders>
              <w:bottom w:val="nil"/>
            </w:tcBorders>
          </w:tcPr>
          <w:p w:rsidR="004B3EE5" w:rsidRDefault="004B3EE5">
            <w:pPr>
              <w:rPr>
                <w:color w:val="000000"/>
              </w:rPr>
            </w:pP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22. Chikungunya karštligė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Chikungunya karštligės virusas</w:t>
            </w: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23. Denge karštligė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Dengė karštligės virusas</w:t>
            </w: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24. Limfocitinis choriomeningitas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 xml:space="preserve">Limfocitinio </w:t>
            </w:r>
            <w:r>
              <w:rPr>
                <w:color w:val="000000"/>
              </w:rPr>
              <w:t>choriomeningito virusas</w:t>
            </w: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25. Rift Valley karštligė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Rift Valley karštligės virusas</w:t>
            </w: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26. Japoniškas encefalitas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Japoniško encefalito virusas</w:t>
            </w:r>
          </w:p>
        </w:tc>
      </w:tr>
      <w:tr w:rsidR="004B3EE5">
        <w:tc>
          <w:tcPr>
            <w:tcW w:w="4927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27. Riketsijų sukeltos ligos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Rickettsia rickettsii, Bartonella quintana, Rochalimea quintana, Rickettsia quintana</w:t>
            </w:r>
          </w:p>
        </w:tc>
      </w:tr>
      <w:tr w:rsidR="004B3EE5">
        <w:tc>
          <w:tcPr>
            <w:tcW w:w="4927" w:type="dxa"/>
            <w:tcBorders>
              <w:top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color w:val="000000"/>
              </w:rPr>
              <w:t>28. Toksinai</w:t>
            </w:r>
          </w:p>
        </w:tc>
        <w:tc>
          <w:tcPr>
            <w:tcW w:w="4928" w:type="dxa"/>
            <w:tcBorders>
              <w:top w:val="nil"/>
            </w:tcBorders>
          </w:tcPr>
          <w:p w:rsidR="004B3EE5" w:rsidRDefault="00267D76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Ricin, Conotoxin, Saxitoxin, Shiga </w:t>
            </w:r>
            <w:r>
              <w:rPr>
                <w:color w:val="000000"/>
              </w:rPr>
              <w:t>toksinas</w:t>
            </w:r>
            <w:r>
              <w:rPr>
                <w:i/>
                <w:iCs/>
                <w:color w:val="000000"/>
              </w:rPr>
              <w:t>, Tetrodotoxin, Verotoxin, Microcystin (Cyanginosin), Aflatoxins</w:t>
            </w:r>
          </w:p>
        </w:tc>
      </w:tr>
    </w:tbl>
    <w:p w:rsidR="004B3EE5" w:rsidRDefault="00267D76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:rsidR="004B3EE5" w:rsidRDefault="004B3EE5">
      <w:pPr>
        <w:rPr>
          <w:color w:val="000000"/>
        </w:rPr>
      </w:pPr>
    </w:p>
    <w:p w:rsidR="004B3EE5" w:rsidRDefault="00267D76"/>
    <w:sectPr w:rsidR="004B3EE5" w:rsidSect="00267D76"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E5" w:rsidRDefault="00267D76">
      <w:r>
        <w:separator/>
      </w:r>
    </w:p>
  </w:endnote>
  <w:endnote w:type="continuationSeparator" w:id="0">
    <w:p w:rsidR="004B3EE5" w:rsidRDefault="0026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E5" w:rsidRDefault="004B3EE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E5" w:rsidRDefault="004B3EE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E5" w:rsidRDefault="004B3EE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E5" w:rsidRDefault="00267D76">
      <w:r>
        <w:separator/>
      </w:r>
    </w:p>
  </w:footnote>
  <w:footnote w:type="continuationSeparator" w:id="0">
    <w:p w:rsidR="004B3EE5" w:rsidRDefault="0026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E5" w:rsidRDefault="00267D7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4B3EE5" w:rsidRDefault="004B3EE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750828"/>
      <w:docPartObj>
        <w:docPartGallery w:val="Page Numbers (Top of Page)"/>
        <w:docPartUnique/>
      </w:docPartObj>
    </w:sdtPr>
    <w:sdtContent>
      <w:p w:rsidR="00267D76" w:rsidRDefault="00267D7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3EE5" w:rsidRDefault="004B3EE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E5" w:rsidRDefault="004B3EE5">
    <w:pPr>
      <w:tabs>
        <w:tab w:val="center" w:pos="4153"/>
        <w:tab w:val="right" w:pos="8306"/>
      </w:tabs>
      <w:rPr>
        <w:lang w:val="en-GB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10"/>
    <w:rsid w:val="00267D76"/>
    <w:rsid w:val="00355810"/>
    <w:rsid w:val="004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477BCC"/>
  <w15:docId w15:val="{A4E08B6B-00CC-40D9-9EB7-A1DAD6D7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67D76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67D76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29C5D25F3DFE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2654</Words>
  <Characters>1514</Characters>
  <Application>Microsoft Office Word</Application>
  <DocSecurity>0</DocSecurity>
  <Lines>12</Lines>
  <Paragraphs>8</Paragraphs>
  <ScaleCrop>false</ScaleCrop>
  <Company/>
  <LinksUpToDate>false</LinksUpToDate>
  <CharactersWithSpaces>4160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2015-10-02T20:55:00Z</dcterms:created>
  <dc:creator>User</dc:creator>
  <lastModifiedBy>TAMALIŪNIENĖ Vilija</lastModifiedBy>
  <dcterms:modified xsi:type="dcterms:W3CDTF">2022-07-06T09:16:00Z</dcterms:modified>
  <revision>3</revision>
</coreProperties>
</file>