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96CF1" w14:textId="77777777" w:rsidR="00842761" w:rsidRDefault="005A320F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61696D0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  <w:lang w:eastAsia="lt-LT"/>
        </w:rPr>
        <w:t>EKSPERTŲ KOMISIJOS DAIKTŲ, ĮRENGINIŲ MODELIAMS GINKLAMS BEI KONKREČIAI JŲ KATEGORIJAI PRISKIRTI 2005 M. KOVO 7 D. POSĖDŽIO PROTOKOLO IŠRAŠAS</w:t>
      </w:r>
    </w:p>
    <w:p w14:paraId="61696CF2" w14:textId="77777777" w:rsidR="00842761" w:rsidRDefault="00842761">
      <w:pPr>
        <w:jc w:val="center"/>
        <w:rPr>
          <w:color w:val="000000"/>
          <w:lang w:eastAsia="lt-LT"/>
        </w:rPr>
      </w:pPr>
    </w:p>
    <w:p w14:paraId="61696CF3" w14:textId="77777777" w:rsidR="00842761" w:rsidRDefault="005A320F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2005 m. kovo 7 d. Nr. 2</w:t>
      </w:r>
    </w:p>
    <w:p w14:paraId="61696CF4" w14:textId="77777777" w:rsidR="00842761" w:rsidRDefault="005A320F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61696CF5" w14:textId="77777777" w:rsidR="00842761" w:rsidRDefault="00842761">
      <w:pPr>
        <w:ind w:firstLine="709"/>
        <w:jc w:val="both"/>
        <w:rPr>
          <w:color w:val="000000"/>
          <w:lang w:eastAsia="lt-LT"/>
        </w:rPr>
      </w:pPr>
    </w:p>
    <w:p w14:paraId="29D729C1" w14:textId="77777777" w:rsidR="005A320F" w:rsidRDefault="005A320F">
      <w:pPr>
        <w:ind w:firstLine="709"/>
        <w:jc w:val="both"/>
        <w:rPr>
          <w:color w:val="000000"/>
          <w:lang w:eastAsia="lt-LT"/>
        </w:rPr>
      </w:pPr>
      <w:bookmarkStart w:id="0" w:name="_GoBack"/>
      <w:bookmarkEnd w:id="0"/>
    </w:p>
    <w:p w14:paraId="61696CF6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NUTARTA:</w:t>
      </w:r>
    </w:p>
    <w:p w14:paraId="61696CF7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2004 m. vasario 11 d. posėdžio</w:t>
      </w:r>
      <w:r>
        <w:rPr>
          <w:color w:val="000000"/>
          <w:szCs w:val="22"/>
          <w:lang w:eastAsia="lt-LT"/>
        </w:rPr>
        <w:t xml:space="preserve"> protokolo (Žin., 2004,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32-1050</w:t>
        </w:r>
      </w:hyperlink>
      <w:r>
        <w:rPr>
          <w:color w:val="000000"/>
          <w:szCs w:val="22"/>
          <w:lang w:eastAsia="lt-LT"/>
        </w:rPr>
        <w:t>) 3 punktas pripažįstamas netekusiu galios.</w:t>
      </w:r>
    </w:p>
    <w:p w14:paraId="61696CF8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Žuvies dorojimo, turistiniai, medžiokliniai, koviniai, „išgyvenimo“ (survivor) peiliai ginklams ne</w:t>
      </w:r>
      <w:r>
        <w:rPr>
          <w:color w:val="000000"/>
          <w:szCs w:val="22"/>
          <w:lang w:eastAsia="lt-LT"/>
        </w:rPr>
        <w:t>priskiriami.</w:t>
      </w:r>
    </w:p>
    <w:p w14:paraId="61696CF9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Sportinės paskirties įrankiai taip pat, kaip ir ūkinės bei buitinės paskirties įrankiai, ginklams nepriskiriami.</w:t>
      </w:r>
    </w:p>
    <w:p w14:paraId="61696CFA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D kategorijos nešaunamiesiems ginklams priskiriami:</w:t>
      </w:r>
    </w:p>
    <w:p w14:paraId="61696CFB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• kardai, kalavijai, durklai, stiletai, durtuvai, špagos;</w:t>
      </w:r>
    </w:p>
    <w:p w14:paraId="61696CFC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• koviniai kirviai, </w:t>
      </w:r>
      <w:r>
        <w:rPr>
          <w:color w:val="000000"/>
          <w:szCs w:val="22"/>
          <w:lang w:eastAsia="lt-LT"/>
        </w:rPr>
        <w:t>alebardos, koviniai dalgiai, kovinės ietys, kovinės šakės;</w:t>
      </w:r>
    </w:p>
    <w:p w14:paraId="61696CFD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• svaidomieji peiliai;</w:t>
      </w:r>
    </w:p>
    <w:p w14:paraId="61696CFE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• smogti pritaikyti ginklai:</w:t>
      </w:r>
    </w:p>
    <w:p w14:paraId="61696CFF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– įrankiai, kuriuose smūgiui sustiprinti smogiantysis elementas pritvirtinamas lanksčia arba spyruokliuojančia jungtimi – koviniai spragilai, nun</w:t>
      </w:r>
      <w:r>
        <w:rPr>
          <w:color w:val="000000"/>
          <w:szCs w:val="22"/>
          <w:lang w:eastAsia="lt-LT"/>
        </w:rPr>
        <w:t>čakai;</w:t>
      </w:r>
    </w:p>
    <w:p w14:paraId="61696D00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– kuokos ir vėzdai.</w:t>
      </w:r>
    </w:p>
    <w:p w14:paraId="61696D01" w14:textId="77777777" w:rsidR="00842761" w:rsidRDefault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Ekspertų komisijos ginklams bei jų šaudmenims tarnybinių, vardinių ir civilinių ginklų bei šaudmenų rūšiai priskirti protokolai Nr. 2 ir Nr. 3 (Žin., 1998, Nr. 98) bei protokolas Nr. 5 (Informaciniai pranešimai, 2002, Nr. </w:t>
      </w:r>
      <w:r>
        <w:rPr>
          <w:color w:val="000000"/>
          <w:szCs w:val="22"/>
          <w:lang w:eastAsia="lt-LT"/>
        </w:rPr>
        <w:t>6) pripažįstami netekusiais galios.</w:t>
      </w:r>
    </w:p>
    <w:p w14:paraId="61696D04" w14:textId="2E356B7E" w:rsidR="00842761" w:rsidRDefault="005A320F" w:rsidP="005A320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Įrenginys Winchester Western MK4, skirtas užsikimšusiems cemento gamybos krosnių kanalams šaudymo būdu išvalyti nestabdant technologinio proceso, ginklams nepriskiriamas. Šoviniai, skirti panaudoti šiame įrenginyj</w:t>
      </w:r>
      <w:r>
        <w:rPr>
          <w:color w:val="000000"/>
          <w:szCs w:val="22"/>
          <w:lang w:eastAsia="lt-LT"/>
        </w:rPr>
        <w:t>e (CE8SPW, CE8ZPW, CE8RV ir analogiški jiems), šaudmenims nepriskiriami.</w:t>
      </w:r>
    </w:p>
    <w:p w14:paraId="0533E66C" w14:textId="77777777" w:rsidR="005A320F" w:rsidRDefault="005A320F">
      <w:pPr>
        <w:tabs>
          <w:tab w:val="right" w:pos="9639"/>
        </w:tabs>
      </w:pPr>
    </w:p>
    <w:p w14:paraId="3EA30915" w14:textId="77777777" w:rsidR="005A320F" w:rsidRDefault="005A320F">
      <w:pPr>
        <w:tabs>
          <w:tab w:val="right" w:pos="9639"/>
        </w:tabs>
      </w:pPr>
    </w:p>
    <w:p w14:paraId="0FA046DE" w14:textId="77777777" w:rsidR="005A320F" w:rsidRDefault="005A320F">
      <w:pPr>
        <w:tabs>
          <w:tab w:val="right" w:pos="9639"/>
        </w:tabs>
      </w:pPr>
    </w:p>
    <w:p w14:paraId="61696D07" w14:textId="7BA12AFA" w:rsidR="00842761" w:rsidRPr="005A320F" w:rsidRDefault="005A320F" w:rsidP="005A320F">
      <w:pPr>
        <w:tabs>
          <w:tab w:val="right" w:pos="9639"/>
        </w:tabs>
        <w:rPr>
          <w:caps/>
        </w:rPr>
      </w:pPr>
      <w:r>
        <w:rPr>
          <w:caps/>
        </w:rPr>
        <w:t>KOMISIJOS PIRMININKAS</w:t>
      </w:r>
      <w:r>
        <w:rPr>
          <w:caps/>
        </w:rPr>
        <w:tab/>
        <w:t>GINTAUTAS MIŠEIKIS</w:t>
      </w:r>
    </w:p>
    <w:sectPr w:rsidR="00842761" w:rsidRPr="005A3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96D0B" w14:textId="77777777" w:rsidR="00842761" w:rsidRDefault="005A320F">
      <w:pPr>
        <w:jc w:val="center"/>
        <w:rPr>
          <w:rFonts w:ascii="TimesLT" w:hAnsi="TimesLT"/>
          <w:sz w:val="20"/>
          <w:lang w:eastAsia="lt-LT"/>
        </w:rPr>
      </w:pPr>
      <w:r>
        <w:rPr>
          <w:rFonts w:ascii="TimesLT" w:hAnsi="TimesLT"/>
          <w:sz w:val="20"/>
          <w:lang w:eastAsia="lt-LT"/>
        </w:rPr>
        <w:separator/>
      </w:r>
    </w:p>
  </w:endnote>
  <w:endnote w:type="continuationSeparator" w:id="0">
    <w:p w14:paraId="61696D0C" w14:textId="77777777" w:rsidR="00842761" w:rsidRDefault="005A320F">
      <w:pPr>
        <w:jc w:val="center"/>
        <w:rPr>
          <w:rFonts w:ascii="TimesLT" w:hAnsi="TimesLT"/>
          <w:sz w:val="20"/>
          <w:lang w:eastAsia="lt-LT"/>
        </w:rPr>
      </w:pPr>
      <w:r>
        <w:rPr>
          <w:rFonts w:ascii="TimesLT" w:hAnsi="TimesLT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11" w14:textId="77777777" w:rsidR="00842761" w:rsidRDefault="008427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12" w14:textId="77777777" w:rsidR="00842761" w:rsidRDefault="008427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14" w14:textId="77777777" w:rsidR="00842761" w:rsidRDefault="008427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6D09" w14:textId="77777777" w:rsidR="00842761" w:rsidRDefault="005A320F">
      <w:pPr>
        <w:jc w:val="center"/>
        <w:rPr>
          <w:rFonts w:ascii="TimesLT" w:hAnsi="TimesLT"/>
          <w:sz w:val="20"/>
          <w:lang w:eastAsia="lt-LT"/>
        </w:rPr>
      </w:pPr>
      <w:r>
        <w:rPr>
          <w:rFonts w:ascii="TimesLT" w:hAnsi="TimesLT"/>
          <w:sz w:val="20"/>
          <w:lang w:eastAsia="lt-LT"/>
        </w:rPr>
        <w:separator/>
      </w:r>
    </w:p>
  </w:footnote>
  <w:footnote w:type="continuationSeparator" w:id="0">
    <w:p w14:paraId="61696D0A" w14:textId="77777777" w:rsidR="00842761" w:rsidRDefault="005A320F">
      <w:pPr>
        <w:jc w:val="center"/>
        <w:rPr>
          <w:rFonts w:ascii="TimesLT" w:hAnsi="TimesLT"/>
          <w:sz w:val="20"/>
          <w:lang w:eastAsia="lt-LT"/>
        </w:rPr>
      </w:pPr>
      <w:r>
        <w:rPr>
          <w:rFonts w:ascii="TimesLT" w:hAnsi="TimesLT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0D" w14:textId="77777777" w:rsidR="00842761" w:rsidRDefault="005A320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1696D0E" w14:textId="77777777" w:rsidR="00842761" w:rsidRDefault="0084276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0F" w14:textId="77777777" w:rsidR="00842761" w:rsidRDefault="005A320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1696D10" w14:textId="77777777" w:rsidR="00842761" w:rsidRDefault="0084276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D13" w14:textId="77777777" w:rsidR="00842761" w:rsidRDefault="0084276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5A320F"/>
    <w:rsid w:val="00842761"/>
    <w:rsid w:val="00B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69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BB7C49AB1D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2015-09-19T23:36:00Z</dcterms:created>
  <dc:creator>User</dc:creator>
  <lastModifiedBy>ŠAULYTĖ SKAIRIENĖ Dalia</lastModifiedBy>
  <dcterms:modified xsi:type="dcterms:W3CDTF">2017-09-27T08:02:00Z</dcterms:modified>
  <revision>3</revision>
</coreProperties>
</file>