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LIETUVOS RESPUBLIKOS VALSTYBĖS TARNYBOS ĮSTATYMO 4, 16, 16</w:t>
      </w:r>
      <w:r>
        <w:rPr>
          <w:b/>
          <w:bCs/>
          <w:caps/>
          <w:color w:val="000000"/>
          <w:vertAlign w:val="superscript"/>
        </w:rPr>
        <w:t>1</w:t>
      </w:r>
      <w:r>
        <w:rPr>
          <w:b/>
          <w:bCs/>
          <w:caps/>
          <w:color w:val="000000"/>
        </w:rPr>
        <w:t>, 23, 42, 43 STRAIPSNIŲ PAKEITIMO IR PAPILDYMO IR ĮSTATYMO PAPILDYMO 38</w:t>
      </w:r>
      <w:r>
        <w:rPr>
          <w:b/>
          <w:bCs/>
          <w:caps/>
          <w:color w:val="000000"/>
          <w:vertAlign w:val="superscript"/>
        </w:rPr>
        <w:t>1</w:t>
      </w:r>
      <w:r>
        <w:rPr>
          <w:b/>
          <w:bCs/>
          <w:caps/>
          <w:color w:val="000000"/>
        </w:rPr>
        <w:t xml:space="preserve"> STRAIPSNIU ĮSTATYMAS</w:t>
      </w:r>
    </w:p>
    <w:p>
      <w:pPr>
        <w:widowControl w:val="0"/>
        <w:suppressAutoHyphens/>
        <w:jc w:val="center"/>
        <w:rPr>
          <w:b/>
          <w:bCs/>
          <w:color w:val="000000"/>
        </w:rPr>
      </w:pPr>
    </w:p>
    <w:p>
      <w:pPr>
        <w:keepLines/>
        <w:widowControl w:val="0"/>
        <w:suppressAutoHyphens/>
        <w:jc w:val="center"/>
        <w:rPr>
          <w:color w:val="000000"/>
        </w:rPr>
      </w:pPr>
      <w:r>
        <w:rPr>
          <w:color w:val="000000"/>
        </w:rPr>
        <w:t>2010 m. birželio 22 d. Nr. XI-936</w:t>
      </w:r>
    </w:p>
    <w:p>
      <w:pPr>
        <w:keepLines/>
        <w:widowControl w:val="0"/>
        <w:suppressAutoHyphens/>
        <w:jc w:val="center"/>
        <w:rPr>
          <w:color w:val="000000"/>
        </w:rPr>
      </w:pPr>
      <w:r>
        <w:rPr>
          <w:color w:val="000000"/>
        </w:rPr>
        <w:t>Vilnius</w:t>
      </w:r>
    </w:p>
    <w:p>
      <w:pPr>
        <w:keepLines/>
        <w:widowControl w:val="0"/>
        <w:suppressAutoHyphens/>
        <w:jc w:val="center"/>
        <w:rPr>
          <w:color w:val="000000"/>
        </w:rPr>
      </w:pPr>
    </w:p>
    <w:p>
      <w:pPr>
        <w:keepLines/>
        <w:widowControl w:val="0"/>
        <w:suppressAutoHyphens/>
        <w:jc w:val="center"/>
        <w:rPr>
          <w:color w:val="000000"/>
        </w:rPr>
      </w:pPr>
      <w:r>
        <w:rPr>
          <w:color w:val="000000"/>
        </w:rPr>
        <w:t xml:space="preserve">(Žin., 1999, Nr. </w:t>
      </w:r>
      <w:fldSimple w:instr="HYPERLINK https://www.e-tar.lt/portal/lt/legalAct/TAR.D3ED3792F52B \t _blank">
        <w:r>
          <w:rPr>
            <w:color w:val="0000FF" w:themeColor="hyperlink"/>
            <w:u w:val="single"/>
          </w:rPr>
          <w:t>66-2130</w:t>
        </w:r>
      </w:fldSimple>
      <w:r>
        <w:rPr>
          <w:color w:val="000000"/>
        </w:rPr>
        <w:t xml:space="preserve">; 2002, Nr. </w:t>
      </w:r>
      <w:fldSimple w:instr="HYPERLINK https://www.e-tar.lt/portal/lt/legalAct/TAR.5603BD9D8D74 \t _blank">
        <w:r>
          <w:rPr>
            <w:color w:val="0000FF" w:themeColor="hyperlink"/>
            <w:u w:val="single"/>
          </w:rPr>
          <w:t>45-1708</w:t>
        </w:r>
      </w:fldSimple>
      <w:r>
        <w:rPr>
          <w:color w:val="000000"/>
        </w:rPr>
        <w:t xml:space="preserve">, Nr. </w:t>
      </w:r>
      <w:fldSimple w:instr="HYPERLINK https://www.e-tar.lt/portal/lt/legalAct/TAR.B5537B935AEF \t _blank">
        <w:r>
          <w:rPr>
            <w:color w:val="0000FF" w:themeColor="hyperlink"/>
            <w:u w:val="single"/>
          </w:rPr>
          <w:t>73-3103</w:t>
        </w:r>
      </w:fldSimple>
      <w:r>
        <w:rPr>
          <w:color w:val="000000"/>
        </w:rPr>
        <w:t xml:space="preserve">; 2003, Nr. </w:t>
      </w:r>
      <w:fldSimple w:instr="HYPERLINK https://www.e-tar.lt/portal/lt/legalAct/TAR.E9E0D56BCC08 \t _blank">
        <w:r>
          <w:rPr>
            <w:color w:val="0000FF" w:themeColor="hyperlink"/>
            <w:u w:val="single"/>
          </w:rPr>
          <w:t>73-3358</w:t>
        </w:r>
      </w:fldSimple>
      <w:r>
        <w:rPr>
          <w:color w:val="000000"/>
        </w:rPr>
        <w:t xml:space="preserve">, Nr. </w:t>
      </w:r>
      <w:fldSimple w:instr="HYPERLINK https://www.e-tar.lt/portal/lt/legalAct/TAR.11A16AFF3610 \t _blank">
        <w:r>
          <w:rPr>
            <w:color w:val="0000FF" w:themeColor="hyperlink"/>
            <w:u w:val="single"/>
          </w:rPr>
          <w:t>101-4534</w:t>
        </w:r>
      </w:fldSimple>
      <w:r>
        <w:rPr>
          <w:color w:val="000000"/>
        </w:rPr>
        <w:t xml:space="preserve">; 2004, Nr. </w:t>
      </w:r>
      <w:fldSimple w:instr="HYPERLINK https://www.e-tar.lt/portal/lt/legalAct/TAR.9EDAB4EAFABA \t _blank">
        <w:r>
          <w:rPr>
            <w:color w:val="0000FF" w:themeColor="hyperlink"/>
            <w:u w:val="single"/>
          </w:rPr>
          <w:t>4-32</w:t>
        </w:r>
      </w:fldSimple>
      <w:r>
        <w:rPr>
          <w:color w:val="000000"/>
        </w:rPr>
        <w:t xml:space="preserve">, Nr. </w:t>
      </w:r>
      <w:fldSimple w:instr="HYPERLINK https://www.e-tar.lt/portal/lt/legalAct/TAR.519B021AB4AF \t _blank">
        <w:r>
          <w:rPr>
            <w:color w:val="0000FF" w:themeColor="hyperlink"/>
            <w:u w:val="single"/>
          </w:rPr>
          <w:t>116-4323</w:t>
        </w:r>
      </w:fldSimple>
      <w:r>
        <w:rPr>
          <w:color w:val="000000"/>
        </w:rPr>
        <w:t xml:space="preserve">, Nr. </w:t>
      </w:r>
      <w:fldSimple w:instr="HYPERLINK https://www.e-tar.lt/portal/lt/legalAct/TAR.A23B0D0DCEFB \t _blank">
        <w:r>
          <w:rPr>
            <w:color w:val="0000FF" w:themeColor="hyperlink"/>
            <w:u w:val="single"/>
          </w:rPr>
          <w:t>163-5940</w:t>
        </w:r>
      </w:fldSimple>
      <w:r>
        <w:rPr>
          <w:color w:val="000000"/>
        </w:rPr>
        <w:t xml:space="preserve">; 2006, Nr. </w:t>
      </w:r>
      <w:fldSimple w:instr="HYPERLINK https://www.e-tar.lt/portal/lt/legalAct/TAR.FDA590A67D72 \t _blank">
        <w:r>
          <w:rPr>
            <w:color w:val="0000FF" w:themeColor="hyperlink"/>
            <w:u w:val="single"/>
          </w:rPr>
          <w:t>4-97</w:t>
        </w:r>
      </w:fldSimple>
      <w:r>
        <w:rPr>
          <w:color w:val="000000"/>
        </w:rPr>
        <w:t xml:space="preserve">, Nr. </w:t>
      </w:r>
      <w:fldSimple w:instr="HYPERLINK https://www.e-tar.lt/portal/lt/legalAct/TAR.EE1C008B5565 \t _blank">
        <w:r>
          <w:rPr>
            <w:color w:val="0000FF" w:themeColor="hyperlink"/>
            <w:u w:val="single"/>
          </w:rPr>
          <w:t>72-2689</w:t>
        </w:r>
      </w:fldSimple>
      <w:r>
        <w:rPr>
          <w:color w:val="000000"/>
        </w:rPr>
        <w:t xml:space="preserve">; 2007, Nr. </w:t>
      </w:r>
      <w:fldSimple w:instr="HYPERLINK https://www.e-tar.lt/portal/lt/legalAct/TAR.FB5F2FB6C07B \t _blank">
        <w:r>
          <w:rPr>
            <w:color w:val="0000FF" w:themeColor="hyperlink"/>
            <w:u w:val="single"/>
          </w:rPr>
          <w:t>69-2723</w:t>
        </w:r>
      </w:fldSimple>
      <w:r>
        <w:rPr>
          <w:color w:val="000000"/>
        </w:rPr>
        <w:t xml:space="preserve">; 2008, Nr. </w:t>
      </w:r>
      <w:fldSimple w:instr="HYPERLINK https://www.e-tar.lt/portal/lt/legalAct/TAR.0EB830B086D0 \t _blank">
        <w:r>
          <w:rPr>
            <w:color w:val="0000FF" w:themeColor="hyperlink"/>
            <w:u w:val="single"/>
          </w:rPr>
          <w:t>120-4549</w:t>
        </w:r>
      </w:fldSimple>
      <w:r>
        <w:rPr>
          <w:color w:val="000000"/>
        </w:rPr>
        <w:t xml:space="preserve">, Nr. </w:t>
      </w:r>
      <w:fldSimple w:instr="HYPERLINK https://www.e-tar.lt/portal/lt/legalAct/TAR.B13A2F50E71E \t _blank">
        <w:r>
          <w:rPr>
            <w:color w:val="0000FF" w:themeColor="hyperlink"/>
            <w:u w:val="single"/>
          </w:rPr>
          <w:t>143-5688</w:t>
        </w:r>
      </w:fldSimple>
      <w:r>
        <w:rPr>
          <w:color w:val="000000"/>
        </w:rPr>
        <w:t xml:space="preserve">) </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4 straipsnio 2 dalies pakeitimas</w:t>
      </w:r>
    </w:p>
    <w:p>
      <w:pPr>
        <w:widowControl w:val="0"/>
        <w:suppressAutoHyphens/>
        <w:ind w:firstLine="567"/>
        <w:jc w:val="both"/>
        <w:rPr>
          <w:color w:val="000000"/>
        </w:rPr>
      </w:pPr>
      <w:r>
        <w:rPr>
          <w:color w:val="000000"/>
        </w:rPr>
        <w:t>Pakeisti 4 straipsnio 2 dalį ir ją išdėstyti taip:</w:t>
      </w:r>
    </w:p>
    <w:p>
      <w:pPr>
        <w:widowControl w:val="0"/>
        <w:suppressAutoHyphens/>
        <w:ind w:firstLine="567"/>
        <w:jc w:val="both"/>
        <w:rPr>
          <w:color w:val="000000"/>
        </w:rPr>
      </w:pPr>
      <w:r>
        <w:rPr>
          <w:color w:val="000000"/>
        </w:rPr>
        <w:t>„</w:t>
      </w:r>
      <w:r>
        <w:rPr>
          <w:color w:val="000000"/>
        </w:rPr>
        <w:t>2</w:t>
      </w:r>
      <w:r>
        <w:rPr>
          <w:color w:val="000000"/>
        </w:rPr>
        <w:t>. Statutiniams valstybės tarnautojams šio Įstatymo 15 straipsnis, 16 straipsnio 4 ir 6 dalys, 16</w:t>
      </w:r>
      <w:r>
        <w:rPr>
          <w:color w:val="000000"/>
          <w:vertAlign w:val="superscript"/>
        </w:rPr>
        <w:t>1</w:t>
      </w:r>
      <w:r>
        <w:rPr>
          <w:color w:val="000000"/>
        </w:rPr>
        <w:t xml:space="preserve"> straipsnis, 17 straipsnis, 18</w:t>
      </w:r>
      <w:r>
        <w:rPr>
          <w:color w:val="000000"/>
          <w:vertAlign w:val="superscript"/>
        </w:rPr>
        <w:t>1</w:t>
      </w:r>
      <w:r>
        <w:rPr>
          <w:color w:val="000000"/>
        </w:rPr>
        <w:t xml:space="preserve"> straipsnis, 19 straipsnis, 28 straipsnis, 29 straipsnio 5 ir 6 dalys, 31 straipsnis, 31</w:t>
      </w:r>
      <w:r>
        <w:rPr>
          <w:color w:val="000000"/>
          <w:vertAlign w:val="superscript"/>
        </w:rPr>
        <w:t>1</w:t>
      </w:r>
      <w:r>
        <w:rPr>
          <w:color w:val="000000"/>
        </w:rPr>
        <w:t xml:space="preserve"> straipsnis, 32 straipsnis, 33 straipsnis, 38</w:t>
      </w:r>
      <w:r>
        <w:rPr>
          <w:color w:val="000000"/>
          <w:vertAlign w:val="superscript"/>
        </w:rPr>
        <w:t>1</w:t>
      </w:r>
      <w:r>
        <w:rPr>
          <w:color w:val="000000"/>
        </w:rPr>
        <w:t>straipsnis, 39 straipsnio 1 dalis, 43 straipsnio 5 dalies 9 punktas ir šio Įstatymo VI skyrius taikomi be išlygų. Kitos šio Įstatymo nuostatos statutiniams valstybės tarnautojams taikomos tiek, kiek jų statuso nereglamentuoja statutai ar Diplomatinės tarnybos įstatymas.“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16 straipsnio 1 dalies 2 punkto papildymas ir pakeitimas</w:t>
      </w:r>
    </w:p>
    <w:p>
      <w:pPr>
        <w:widowControl w:val="0"/>
        <w:suppressAutoHyphens/>
        <w:ind w:firstLine="567"/>
        <w:jc w:val="both"/>
        <w:rPr>
          <w:color w:val="000000"/>
        </w:rPr>
      </w:pPr>
      <w:r>
        <w:rPr>
          <w:color w:val="000000"/>
        </w:rPr>
        <w:t>1</w:t>
      </w:r>
      <w:r>
        <w:rPr>
          <w:color w:val="000000"/>
        </w:rPr>
        <w:t>. 16 straipsnio 1 dalies 2 punktą papildyti nauju e papunkčiu:</w:t>
      </w:r>
    </w:p>
    <w:p>
      <w:pPr>
        <w:widowControl w:val="0"/>
        <w:suppressAutoHyphens/>
        <w:ind w:firstLine="567"/>
        <w:jc w:val="both"/>
        <w:rPr>
          <w:color w:val="000000"/>
        </w:rPr>
      </w:pPr>
      <w:r>
        <w:rPr>
          <w:color w:val="000000"/>
        </w:rPr>
        <w:t>„e) 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 jeigu už tą darbo laiką neturi būti mokamas valstybės tarnautojo darbo užmokestis iš valstybės biudžeto lėšų;“.</w:t>
      </w:r>
    </w:p>
    <w:p>
      <w:pPr>
        <w:widowControl w:val="0"/>
        <w:suppressAutoHyphens/>
        <w:ind w:firstLine="567"/>
        <w:jc w:val="both"/>
        <w:rPr>
          <w:color w:val="000000"/>
        </w:rPr>
      </w:pPr>
      <w:r>
        <w:rPr>
          <w:color w:val="000000"/>
        </w:rPr>
        <w:t>2</w:t>
      </w:r>
      <w:r>
        <w:rPr>
          <w:color w:val="000000"/>
        </w:rPr>
        <w:t>. Buvusį 16 straipsnio 1 dalies 2 punkto e papunktį laikyti 2 punkto f papunkčiu.</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16</w:t>
      </w:r>
      <w:r>
        <w:rPr>
          <w:b/>
          <w:bCs/>
          <w:color w:val="000000"/>
          <w:vertAlign w:val="superscript"/>
        </w:rPr>
        <w:t>1</w:t>
      </w:r>
      <w:r>
        <w:rPr>
          <w:b/>
          <w:bCs/>
          <w:color w:val="000000"/>
        </w:rPr>
        <w:t xml:space="preserve"> straipsnio 3 dalies pakeitimas</w:t>
      </w:r>
    </w:p>
    <w:p>
      <w:pPr>
        <w:widowControl w:val="0"/>
        <w:suppressAutoHyphens/>
        <w:ind w:firstLine="567"/>
        <w:jc w:val="both"/>
        <w:rPr>
          <w:color w:val="000000"/>
        </w:rPr>
      </w:pPr>
      <w:r>
        <w:rPr>
          <w:color w:val="000000"/>
        </w:rPr>
        <w:t>Pakeisti 16</w:t>
      </w:r>
      <w:r>
        <w:rPr>
          <w:color w:val="000000"/>
          <w:vertAlign w:val="superscript"/>
        </w:rPr>
        <w:t>1</w:t>
      </w:r>
      <w:r>
        <w:rPr>
          <w:color w:val="000000"/>
        </w:rPr>
        <w:t xml:space="preserve"> straipsnio 3 dalį ir ją išdėstyti taip:</w:t>
      </w:r>
    </w:p>
    <w:p>
      <w:pPr>
        <w:widowControl w:val="0"/>
        <w:suppressAutoHyphens/>
        <w:ind w:firstLine="567"/>
        <w:jc w:val="both"/>
        <w:rPr>
          <w:color w:val="000000"/>
        </w:rPr>
      </w:pPr>
      <w:r>
        <w:rPr>
          <w:color w:val="000000"/>
        </w:rPr>
        <w:t>„</w:t>
      </w:r>
      <w:r>
        <w:rPr>
          <w:color w:val="000000"/>
        </w:rPr>
        <w:t>3</w:t>
      </w:r>
      <w:r>
        <w:rPr>
          <w:color w:val="000000"/>
        </w:rPr>
        <w:t>. Sprendimas dėl leidimo valstybės tarnautojui dirbti kitą darbą galioja vienerius metus nuo sprendimo priėmimo dienos. Jeigu toks sprendimas priimtas dėl valstybės tarnautojo kito darbo Europos Sąjungos, tarptautinių organizacijų, užsienio valstybių finansuojamuose paramos teikimo arba Lietuvos vystomojo bendradarbiavimo ir paramos demokratijai projektuose, leidimas galioja iki projekto pabaigos. Valstybės tarnautoją perkėlus į kitas pareigas, pasikeitus jo pareigybės aprašyme nustatytoms funkcijoms, valstybės tarnautojas privalo pateikti naują prašymą leisti dirbti kitą darbą.“</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23 straipsnio papildymas 3 dalimi</w:t>
      </w:r>
    </w:p>
    <w:p>
      <w:pPr>
        <w:widowControl w:val="0"/>
        <w:suppressAutoHyphens/>
        <w:ind w:firstLine="567"/>
        <w:jc w:val="both"/>
        <w:rPr>
          <w:color w:val="000000"/>
        </w:rPr>
      </w:pPr>
      <w:r>
        <w:rPr>
          <w:color w:val="000000"/>
        </w:rPr>
        <w:t>Papildyti 23 straipsnį 3 dalimi:</w:t>
      </w:r>
    </w:p>
    <w:p>
      <w:pPr>
        <w:widowControl w:val="0"/>
        <w:suppressAutoHyphens/>
        <w:ind w:firstLine="567"/>
        <w:jc w:val="both"/>
        <w:rPr>
          <w:color w:val="000000"/>
        </w:rPr>
      </w:pPr>
      <w:r>
        <w:rPr>
          <w:color w:val="000000"/>
        </w:rPr>
        <w:t>„</w:t>
      </w:r>
      <w:r>
        <w:rPr>
          <w:color w:val="000000"/>
        </w:rPr>
        <w:t>3</w:t>
      </w:r>
      <w:r>
        <w:rPr>
          <w:color w:val="000000"/>
        </w:rPr>
        <w:t>. Valstybės tarnautojui 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 iš Europos Sąjungos, tarptautinių organizacijų, užsienio valstybių lėšų pagal paramos teikimo projektų sutartyse nustatytas sąlygas ir įkainius gali būti mokamos vienkartinės ar periodinės išmokos, kurios nėra įskaičiuojamos į šio straipsnio 1 ir 2 dalyse nustatytą valstybės tarnautojo darbo užmokestį. Už laiką, kurį valstybės tarnautojas dalyvauja minėtuose paramos teikimo projektuose ir už kurį gauna išmokas iš Europos Sąjungos, tarptautinių organizacijų, užsienio valstybių lėšų, skirtų minėtiems paramos teikimo projektams įgyvendinti, darbo užmokestis iš valstybės ar savivaldybės biudžeto lėšų valstybės tarnautojui nemokamas.“</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Įstatymo papildymas 38</w:t>
      </w:r>
      <w:r>
        <w:rPr>
          <w:b/>
          <w:bCs/>
          <w:color w:val="000000"/>
          <w:vertAlign w:val="superscript"/>
        </w:rPr>
        <w:t xml:space="preserve">1 </w:t>
      </w:r>
      <w:r>
        <w:rPr>
          <w:b/>
          <w:bCs/>
          <w:color w:val="000000"/>
        </w:rPr>
        <w:t>straipsniu</w:t>
      </w:r>
    </w:p>
    <w:p>
      <w:pPr>
        <w:widowControl w:val="0"/>
        <w:suppressAutoHyphens/>
        <w:ind w:firstLine="567"/>
        <w:jc w:val="both"/>
        <w:rPr>
          <w:color w:val="000000"/>
        </w:rPr>
      </w:pPr>
      <w:r>
        <w:rPr>
          <w:color w:val="000000"/>
        </w:rPr>
        <w:t>Papildyti Įstatymą 38</w:t>
      </w:r>
      <w:r>
        <w:rPr>
          <w:color w:val="000000"/>
          <w:vertAlign w:val="superscript"/>
        </w:rPr>
        <w:t xml:space="preserve">1 </w:t>
      </w:r>
      <w:r>
        <w:rPr>
          <w:color w:val="000000"/>
        </w:rPr>
        <w:t>straipsniu:</w:t>
      </w:r>
    </w:p>
    <w:p>
      <w:pPr>
        <w:widowControl w:val="0"/>
        <w:suppressAutoHyphens/>
        <w:ind w:left="2400" w:hanging="1833"/>
        <w:jc w:val="both"/>
        <w:rPr>
          <w:b/>
          <w:bCs/>
          <w:color w:val="000000"/>
        </w:rPr>
      </w:pPr>
      <w:r>
        <w:rPr>
          <w:color w:val="000000"/>
        </w:rPr>
        <w:t>„</w:t>
      </w:r>
      <w:r>
        <w:rPr>
          <w:b/>
          <w:bCs/>
          <w:color w:val="000000"/>
        </w:rPr>
        <w:t>38</w:t>
      </w:r>
      <w:r>
        <w:rPr>
          <w:b/>
          <w:bCs/>
          <w:color w:val="000000"/>
          <w:vertAlign w:val="superscript"/>
        </w:rPr>
        <w:t>1</w:t>
      </w:r>
      <w:r>
        <w:rPr>
          <w:b/>
          <w:bCs/>
          <w:color w:val="000000"/>
          <w:vertAlign w:val="superscript"/>
        </w:rPr>
        <w:t xml:space="preserve"> </w:t>
      </w:r>
      <w:r>
        <w:rPr>
          <w:b/>
          <w:bCs/>
          <w:color w:val="000000"/>
        </w:rPr>
        <w:t xml:space="preserve">straipsnis. </w:t>
      </w:r>
      <w:r>
        <w:rPr>
          <w:b/>
          <w:bCs/>
          <w:color w:val="000000"/>
        </w:rPr>
        <w:t>Atostogos dėl dalyvavimo Europos Sąjungos, tarptautinės organizacijos finansuojamuose paramos teikimo arba Lietuvos vystomojo bendradarbiavimo ir paramos demokratijai projektuose</w:t>
      </w:r>
    </w:p>
    <w:p>
      <w:pPr>
        <w:widowControl w:val="0"/>
        <w:suppressAutoHyphens/>
        <w:ind w:firstLine="567"/>
        <w:jc w:val="both"/>
        <w:rPr>
          <w:color w:val="000000"/>
        </w:rPr>
      </w:pPr>
      <w:r>
        <w:rPr>
          <w:color w:val="000000"/>
        </w:rPr>
        <w:t xml:space="preserve">Valstybės tarnautojui jį į pareigas priėmusio asmens ir valstybės tarnautojo susitarimu gali būti suteiktos atostogos dėl dalyvavimo Europos Sąjungos, tarptautinės organizacijos finansuojamuose paramos teikimo arba Lietuvos vystomojo bendradarbiavimo ir paramos demokratijai projektuose, kuriuose vykdoma su valstybės ar savivaldybės institucijos ar įstaigos misija ir strateginiais tikslais nesusijusi veikla užsienio valstybėje.“ </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 xml:space="preserve">42 straipsnio 1 dalies pakeitimas </w:t>
      </w:r>
    </w:p>
    <w:p>
      <w:pPr>
        <w:widowControl w:val="0"/>
        <w:suppressAutoHyphens/>
        <w:ind w:firstLine="567"/>
        <w:jc w:val="both"/>
        <w:rPr>
          <w:color w:val="000000"/>
        </w:rPr>
      </w:pPr>
      <w:r>
        <w:rPr>
          <w:color w:val="000000"/>
        </w:rPr>
        <w:t>Pakeisti 42 straipsnio 1 dalį ir ją išdėstyti taip:</w:t>
      </w:r>
    </w:p>
    <w:p>
      <w:pPr>
        <w:widowControl w:val="0"/>
        <w:suppressAutoHyphens/>
        <w:ind w:firstLine="567"/>
        <w:jc w:val="both"/>
        <w:rPr>
          <w:color w:val="000000"/>
        </w:rPr>
      </w:pPr>
      <w:r>
        <w:rPr>
          <w:color w:val="000000"/>
        </w:rPr>
        <w:t>„</w:t>
      </w:r>
      <w:r>
        <w:rPr>
          <w:color w:val="000000"/>
        </w:rPr>
        <w:t>1</w:t>
      </w:r>
      <w:r>
        <w:rPr>
          <w:color w:val="000000"/>
        </w:rPr>
        <w:t>. Pagal šį Įstatymą tarnybos stažą sudaro Lietuvos valstybei ištarnautų nuo 1990 m.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atleidimo nuo tarnybinių pareigų dalyvauti Seimo, Respublikos Prezidento, Europos Parlamento ar savivaldybių tarybų rinkimuose pagal šio Įstatymo 16 straipsnio 1 dalies 8 punktą,</w:t>
      </w:r>
      <w:r>
        <w:rPr>
          <w:b/>
          <w:bCs/>
          <w:color w:val="000000"/>
        </w:rPr>
        <w:t xml:space="preserve"> </w:t>
      </w:r>
      <w:r>
        <w:rPr>
          <w:color w:val="000000"/>
        </w:rPr>
        <w:t>perkėlimo į pareigas tarptautinėje institucijoje ar užsienio valstybės institucijoje pagal šio Įstatymo 19 straipsnio 2 dalį, darbo tarptautinėje institucijoje ar užsienio valstybės institucijoje laikotarpiai, dalyvavimo Europos Sąjungos, tarptautinės organizacijos finansuojamuose projektuose užsienio valstybės institucijoje laikotarpiai, atostogos dėl dalyvavimo Europos Sąjungos, tarptautinių organizacijų, užsienio valstybių finansuojamuose paramos teikimo arba Lietuvos vystomojo bendradarbiavimo ir paramos demokratijai projektuose,</w:t>
      </w:r>
      <w:r>
        <w:rPr>
          <w:b/>
          <w:bCs/>
          <w:color w:val="000000"/>
        </w:rPr>
        <w:t xml:space="preserve"> </w:t>
      </w:r>
      <w:r>
        <w:rPr>
          <w:color w:val="000000"/>
        </w:rPr>
        <w:t>mokymosi atostogos, pagal šio Įstatymo 37, 38 ir 39 straipsnius suteiktų atostogų laikas ir ligos pašalpos gavimo laikotarpiai. Atsižvelgiant į tarnybos stažą, nustatomas šio Įstatymo 25 straipsnio 1 dalies 1 punkte nurodyto priedo dydis ir šio Įstatymo 36 straipsnio 2 dalyje nurodytų kasmetinių papildomų atostogų trukmė.“</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43 straipsnio 8 dalies pakeitimas</w:t>
      </w:r>
    </w:p>
    <w:p>
      <w:pPr>
        <w:widowControl w:val="0"/>
        <w:suppressAutoHyphens/>
        <w:ind w:firstLine="567"/>
        <w:jc w:val="both"/>
        <w:rPr>
          <w:color w:val="000000"/>
        </w:rPr>
      </w:pPr>
      <w:r>
        <w:rPr>
          <w:color w:val="000000"/>
        </w:rPr>
        <w:t>Pakeisti 43 straipsnio 8 dalį ir ją išdėstyti taip:</w:t>
      </w:r>
    </w:p>
    <w:p>
      <w:pPr>
        <w:widowControl w:val="0"/>
        <w:suppressAutoHyphens/>
        <w:ind w:firstLine="567"/>
        <w:jc w:val="both"/>
        <w:rPr>
          <w:color w:val="000000"/>
        </w:rPr>
      </w:pPr>
      <w:r>
        <w:rPr>
          <w:color w:val="000000"/>
        </w:rPr>
        <w:t>„</w:t>
      </w:r>
      <w:r>
        <w:rPr>
          <w:color w:val="000000"/>
        </w:rPr>
        <w:t>8</w:t>
      </w:r>
      <w:r>
        <w:rPr>
          <w:color w:val="000000"/>
        </w:rPr>
        <w:t>. Eitos pareigos garantuojamos, kai karjeros valstybės tarnautojas dėl</w:t>
      </w:r>
      <w:r>
        <w:rPr>
          <w:b/>
          <w:bCs/>
          <w:color w:val="000000"/>
        </w:rPr>
        <w:t xml:space="preserve"> </w:t>
      </w:r>
      <w:r>
        <w:rPr>
          <w:color w:val="000000"/>
        </w:rPr>
        <w:t>privalomosios pradinės karo tarnybos, savanorių karo tarnybos arba alternatyviosios krašto apsaugos tarnybos atlikimo, atostogų kvalifikacijai tobulinti, nėštumo ir gimdymo atostogų ar atostogų vaikui prižiūrėti, iki jam sueis treji metai, dėl laikino perkėlimo į kitas pareigas</w:t>
      </w:r>
      <w:r>
        <w:rPr>
          <w:b/>
          <w:bCs/>
          <w:color w:val="000000"/>
        </w:rPr>
        <w:t xml:space="preserve"> </w:t>
      </w:r>
      <w:r>
        <w:rPr>
          <w:color w:val="000000"/>
        </w:rPr>
        <w:t>pagal šio Įstatymo 18 straipsnį, dėl dalyvavimo Europos Sąjungos, tarptautinės organizacijos finansuojamuose projektuose užsienio valstybės institucijoje (taip pat atostogų dėl dalyvavimo Europos Sąjungos, tarptautinių organizacijų, užsienio valstybių finansuojamuose paramos teikimo arba Lietuvos vystomojo bendradarbiavimo ir paramos demokratijai projektuose)</w:t>
      </w:r>
      <w:r>
        <w:rPr>
          <w:b/>
          <w:bCs/>
          <w:color w:val="000000"/>
        </w:rPr>
        <w:t xml:space="preserve"> </w:t>
      </w:r>
      <w:r>
        <w:rPr>
          <w:color w:val="000000"/>
        </w:rPr>
        <w:t>arba dėl dalyvavimo tarptautinėje operacijoje, teisės aktų nustatyta tvarka sudarius civilinės krašto apsaugos tarnybos sutartį, negali eiti pareigų.“</w:t>
      </w:r>
    </w:p>
    <w:p>
      <w:pPr>
        <w:widowControl w:val="0"/>
        <w:suppressAutoHyphens/>
        <w:ind w:firstLine="567"/>
        <w:jc w:val="both"/>
        <w:rPr>
          <w:color w:val="000000"/>
        </w:rPr>
      </w:pPr>
    </w:p>
    <w:p>
      <w:pPr>
        <w:widowControl w:val="0"/>
        <w:suppressAutoHyphens/>
        <w:ind w:firstLine="567"/>
        <w:jc w:val="both"/>
        <w:rPr>
          <w:i/>
          <w:iCs/>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A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6310</Characters>
  <Application>Microsoft Office Word</Application>
  <DocSecurity>4</DocSecurity>
  <Lines>108</Lines>
  <Paragraphs>34</Paragraphs>
  <ScaleCrop>false</ScaleCrop>
  <Company/>
  <LinksUpToDate>false</LinksUpToDate>
  <CharactersWithSpaces>7194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2015-09-15T00:21:00Z</dcterms:created>
  <dc:creator>Rima</dc:creator>
  <lastModifiedBy>Adlib User</lastModifiedBy>
  <dcterms:modified xsi:type="dcterms:W3CDTF">2015-09-15T00:21:00Z</dcterms:modified>
  <revision>2</revision>
  <dc:title>LIETUVOS RESPUBLIKOS VALSTYBĖS TARNYBOS ĮSTATYMO 4, 16, 161, 23, 42, 43 STRAIPSNIŲ PAKEITIMO IR PAPILDYMO IR ĮSTATYMO PAPILDYMO</dc:title>
</coreProperties>
</file>