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6FCD3" w14:textId="77777777" w:rsidR="007E1642" w:rsidRDefault="00A17B39">
      <w:pPr>
        <w:widowControl w:val="0"/>
        <w:jc w:val="center"/>
        <w:rPr>
          <w:color w:val="000000"/>
        </w:rPr>
      </w:pPr>
      <w:r>
        <w:rPr>
          <w:color w:val="000000"/>
        </w:rPr>
        <w:pict w14:anchorId="47E6FEFB">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0;margin-top:0;width:.75pt;height:.75pt;z-index:251657728;visibility:hidden;mso-position-horizontal-relative:text;mso-position-vertical-relative:text" stroked="f">
            <v:imagedata r:id="rId8" o:title=""/>
          </v:shape>
          <w:control r:id="rId9" w:name="Control 11" w:shapeid="_x0000_s1035"/>
        </w:pict>
      </w:r>
      <w:r>
        <w:rPr>
          <w:color w:val="000000"/>
        </w:rPr>
        <w:t>LIETUVOS RESPUBLIKOS APLINKOS MINISTRO</w:t>
      </w:r>
    </w:p>
    <w:p w14:paraId="47E6FCD4" w14:textId="77777777" w:rsidR="007E1642" w:rsidRDefault="00A17B39">
      <w:pPr>
        <w:widowControl w:val="0"/>
        <w:jc w:val="center"/>
        <w:rPr>
          <w:color w:val="000000"/>
        </w:rPr>
      </w:pPr>
      <w:r>
        <w:rPr>
          <w:color w:val="000000"/>
        </w:rPr>
        <w:t>Į S A K Y M A S</w:t>
      </w:r>
    </w:p>
    <w:p w14:paraId="47E6FCD5" w14:textId="77777777" w:rsidR="007E1642" w:rsidRDefault="007E1642">
      <w:pPr>
        <w:widowControl w:val="0"/>
        <w:jc w:val="center"/>
        <w:rPr>
          <w:b/>
          <w:bCs/>
          <w:color w:val="000000"/>
        </w:rPr>
      </w:pPr>
    </w:p>
    <w:p w14:paraId="47E6FCD6" w14:textId="77777777" w:rsidR="007E1642" w:rsidRDefault="00A17B39">
      <w:pPr>
        <w:widowControl w:val="0"/>
        <w:jc w:val="center"/>
        <w:rPr>
          <w:b/>
          <w:bCs/>
          <w:caps/>
          <w:color w:val="000000"/>
        </w:rPr>
      </w:pPr>
      <w:r>
        <w:rPr>
          <w:b/>
          <w:bCs/>
          <w:caps/>
          <w:color w:val="000000"/>
        </w:rPr>
        <w:t>DĖL STATYBOS TECHNINIO REGLAMENTO STR 2.01.11:2012 „IŠORINĖS VĖDINAMOS TERMOIZOLIACINĖS SISTEMOS“ PATVIRTINIMO</w:t>
      </w:r>
    </w:p>
    <w:p w14:paraId="47E6FCD7" w14:textId="77777777" w:rsidR="007E1642" w:rsidRDefault="007E1642">
      <w:pPr>
        <w:widowControl w:val="0"/>
        <w:jc w:val="center"/>
        <w:rPr>
          <w:b/>
          <w:bCs/>
          <w:color w:val="000000"/>
        </w:rPr>
      </w:pPr>
    </w:p>
    <w:p w14:paraId="47E6FCD8" w14:textId="77777777" w:rsidR="007E1642" w:rsidRDefault="00A17B39">
      <w:pPr>
        <w:widowControl w:val="0"/>
        <w:jc w:val="center"/>
        <w:rPr>
          <w:color w:val="000000"/>
        </w:rPr>
      </w:pPr>
      <w:r>
        <w:rPr>
          <w:color w:val="000000"/>
        </w:rPr>
        <w:t>2012 m. kovo 7 d. Nr. D1-212</w:t>
      </w:r>
    </w:p>
    <w:p w14:paraId="47E6FCD9" w14:textId="77777777" w:rsidR="007E1642" w:rsidRDefault="00A17B39">
      <w:pPr>
        <w:widowControl w:val="0"/>
        <w:jc w:val="center"/>
        <w:rPr>
          <w:color w:val="000000"/>
        </w:rPr>
      </w:pPr>
      <w:r>
        <w:rPr>
          <w:color w:val="000000"/>
        </w:rPr>
        <w:t>Vilnius</w:t>
      </w:r>
    </w:p>
    <w:p w14:paraId="47E6FCDA" w14:textId="77777777" w:rsidR="007E1642" w:rsidRDefault="007E1642">
      <w:pPr>
        <w:widowControl w:val="0"/>
        <w:ind w:firstLine="567"/>
        <w:jc w:val="both"/>
        <w:rPr>
          <w:color w:val="000000"/>
        </w:rPr>
      </w:pPr>
    </w:p>
    <w:p w14:paraId="47E6FCDB" w14:textId="77777777" w:rsidR="007E1642" w:rsidRDefault="00A17B39">
      <w:pPr>
        <w:widowControl w:val="0"/>
        <w:ind w:firstLine="567"/>
        <w:jc w:val="both"/>
        <w:rPr>
          <w:color w:val="000000"/>
        </w:rPr>
      </w:pPr>
      <w:r>
        <w:rPr>
          <w:color w:val="000000"/>
        </w:rPr>
        <w:t xml:space="preserve">Vadovaudamasis </w:t>
      </w:r>
      <w:r>
        <w:rPr>
          <w:color w:val="000000"/>
        </w:rPr>
        <w:t>Lietuvos Respublikos statybos įstatymo (</w:t>
      </w:r>
      <w:proofErr w:type="spellStart"/>
      <w:r>
        <w:rPr>
          <w:color w:val="000000"/>
        </w:rPr>
        <w:t>Žin</w:t>
      </w:r>
      <w:proofErr w:type="spellEnd"/>
      <w:r>
        <w:rPr>
          <w:color w:val="000000"/>
        </w:rPr>
        <w:t xml:space="preserve">., 1996, Nr. </w:t>
      </w:r>
      <w:hyperlink r:id="rId10" w:tgtFrame="_blank" w:history="1">
        <w:r>
          <w:rPr>
            <w:color w:val="0000FF" w:themeColor="hyperlink"/>
            <w:u w:val="single"/>
          </w:rPr>
          <w:t>32-788</w:t>
        </w:r>
      </w:hyperlink>
      <w:r>
        <w:rPr>
          <w:color w:val="000000"/>
        </w:rPr>
        <w:t xml:space="preserve">; 2001, Nr. </w:t>
      </w:r>
      <w:hyperlink r:id="rId11" w:tgtFrame="_blank" w:history="1">
        <w:r>
          <w:rPr>
            <w:color w:val="0000FF" w:themeColor="hyperlink"/>
            <w:u w:val="single"/>
          </w:rPr>
          <w:t>101-3597</w:t>
        </w:r>
      </w:hyperlink>
      <w:r>
        <w:rPr>
          <w:color w:val="000000"/>
        </w:rPr>
        <w:t xml:space="preserve">; 2004, Nr. </w:t>
      </w:r>
      <w:hyperlink r:id="rId12" w:tgtFrame="_blank" w:history="1">
        <w:r>
          <w:rPr>
            <w:color w:val="0000FF" w:themeColor="hyperlink"/>
            <w:u w:val="single"/>
          </w:rPr>
          <w:t>73-2545</w:t>
        </w:r>
      </w:hyperlink>
      <w:r>
        <w:rPr>
          <w:color w:val="000000"/>
        </w:rPr>
        <w:t>) 8 straipsnio 5 dalimi ir Lietuvos Respublikos Vyriausybės 2002 m. vasario 26 d. nutarimo Nr. 280 „Dėl Lietuvos Respublikos statybos įstatymo įgyvendinimo“ (</w:t>
      </w:r>
      <w:proofErr w:type="spellStart"/>
      <w:r>
        <w:rPr>
          <w:color w:val="000000"/>
        </w:rPr>
        <w:t>Žin</w:t>
      </w:r>
      <w:proofErr w:type="spellEnd"/>
      <w:r>
        <w:rPr>
          <w:color w:val="000000"/>
        </w:rPr>
        <w:t xml:space="preserve">., 2002, Nr. </w:t>
      </w:r>
      <w:hyperlink r:id="rId13" w:tgtFrame="_blank" w:history="1">
        <w:r>
          <w:rPr>
            <w:color w:val="0000FF" w:themeColor="hyperlink"/>
            <w:u w:val="single"/>
          </w:rPr>
          <w:t>22-819</w:t>
        </w:r>
      </w:hyperlink>
      <w:r>
        <w:rPr>
          <w:color w:val="000000"/>
        </w:rPr>
        <w:t>; 2010, Nr.</w:t>
      </w:r>
      <w:hyperlink r:id="rId14" w:tgtFrame="_blank" w:history="1">
        <w:r>
          <w:rPr>
            <w:color w:val="0000FF" w:themeColor="hyperlink"/>
            <w:u w:val="single"/>
          </w:rPr>
          <w:t>120-6119</w:t>
        </w:r>
      </w:hyperlink>
      <w:r>
        <w:rPr>
          <w:color w:val="000000"/>
        </w:rPr>
        <w:t xml:space="preserve">) 1.3 punktu: </w:t>
      </w:r>
    </w:p>
    <w:p w14:paraId="47E6FCDC" w14:textId="77777777" w:rsidR="007E1642" w:rsidRDefault="00A17B39">
      <w:pPr>
        <w:widowControl w:val="0"/>
        <w:ind w:firstLine="567"/>
        <w:jc w:val="both"/>
        <w:rPr>
          <w:color w:val="000000"/>
          <w:spacing w:val="-6"/>
        </w:rPr>
      </w:pPr>
      <w:r>
        <w:rPr>
          <w:color w:val="000000"/>
          <w:spacing w:val="-6"/>
        </w:rPr>
        <w:t>1</w:t>
      </w:r>
      <w:r>
        <w:rPr>
          <w:color w:val="000000"/>
          <w:spacing w:val="-6"/>
        </w:rPr>
        <w:t>. T v i r t i n u  statybos techninį reglamentą STR 2</w:t>
      </w:r>
      <w:r>
        <w:rPr>
          <w:color w:val="000000"/>
          <w:spacing w:val="-6"/>
        </w:rPr>
        <w:t>.01.11:2012 „Išorinės vėdinamos termoizoliacinės sistemos“ (pridedama).</w:t>
      </w:r>
    </w:p>
    <w:p w14:paraId="47E6FCDD" w14:textId="77777777" w:rsidR="007E1642" w:rsidRDefault="00A17B39">
      <w:pPr>
        <w:widowControl w:val="0"/>
        <w:ind w:firstLine="567"/>
        <w:jc w:val="both"/>
        <w:rPr>
          <w:color w:val="000000"/>
        </w:rPr>
      </w:pPr>
      <w:r>
        <w:rPr>
          <w:color w:val="000000"/>
        </w:rPr>
        <w:t>2</w:t>
      </w:r>
      <w:r>
        <w:rPr>
          <w:color w:val="000000"/>
        </w:rPr>
        <w:t>. N u s t a t a u, kad šio įsakymo 1 punkte nurodyto statybos techninio reglamento reikalavimai privalomi po šio įsakymo įsigaliojimo pradedamiems projektuoti statiniams.</w:t>
      </w:r>
    </w:p>
    <w:p w14:paraId="47E6FCDE" w14:textId="77777777" w:rsidR="007E1642" w:rsidRDefault="007E1642">
      <w:pPr>
        <w:widowControl w:val="0"/>
        <w:ind w:firstLine="567"/>
        <w:jc w:val="both"/>
        <w:rPr>
          <w:color w:val="000000"/>
        </w:rPr>
      </w:pPr>
    </w:p>
    <w:p w14:paraId="47E6FCDF" w14:textId="77777777" w:rsidR="007E1642" w:rsidRDefault="00A17B39">
      <w:pPr>
        <w:widowControl w:val="0"/>
        <w:ind w:firstLine="567"/>
        <w:jc w:val="both"/>
        <w:rPr>
          <w:color w:val="000000"/>
        </w:rPr>
      </w:pPr>
    </w:p>
    <w:p w14:paraId="47E6FCE3" w14:textId="0EA76FB7" w:rsidR="007E1642" w:rsidRPr="00A17B39" w:rsidRDefault="00A17B39" w:rsidP="00A17B39">
      <w:pPr>
        <w:widowControl w:val="0"/>
        <w:tabs>
          <w:tab w:val="right" w:pos="9071"/>
        </w:tabs>
        <w:rPr>
          <w:caps/>
          <w:color w:val="000000"/>
        </w:rPr>
      </w:pPr>
      <w:r>
        <w:rPr>
          <w:caps/>
          <w:color w:val="000000"/>
        </w:rPr>
        <w:t>Aplinkos ministras</w:t>
      </w:r>
      <w:r>
        <w:rPr>
          <w:caps/>
          <w:color w:val="000000"/>
        </w:rPr>
        <w:tab/>
        <w:t>Gediminas Kazlauskas</w:t>
      </w:r>
    </w:p>
    <w:p w14:paraId="47E6FCE4" w14:textId="77777777" w:rsidR="007E1642" w:rsidRDefault="00A17B39">
      <w:pPr>
        <w:ind w:left="4535"/>
      </w:pPr>
      <w:r>
        <w:br w:type="page"/>
      </w:r>
      <w:r>
        <w:lastRenderedPageBreak/>
        <w:t>PATVIRTINTA</w:t>
      </w:r>
    </w:p>
    <w:p w14:paraId="47E6FCE5" w14:textId="77777777" w:rsidR="007E1642" w:rsidRDefault="00A17B39">
      <w:pPr>
        <w:ind w:left="4535"/>
      </w:pPr>
      <w:r>
        <w:t xml:space="preserve">Lietuvos Respublikos aplinkos ministro </w:t>
      </w:r>
    </w:p>
    <w:p w14:paraId="47E6FCE6" w14:textId="77777777" w:rsidR="007E1642" w:rsidRDefault="00A17B39">
      <w:pPr>
        <w:ind w:left="4535"/>
      </w:pPr>
      <w:r>
        <w:t>2012 m. kovo 7 d. įsakymu Nr. D1-212</w:t>
      </w:r>
    </w:p>
    <w:p w14:paraId="47E6FCE7" w14:textId="77777777" w:rsidR="007E1642" w:rsidRDefault="007E1642">
      <w:pPr>
        <w:jc w:val="center"/>
        <w:rPr>
          <w:b/>
          <w:bCs/>
          <w:sz w:val="20"/>
        </w:rPr>
      </w:pPr>
    </w:p>
    <w:p w14:paraId="47E6FCE8" w14:textId="77777777" w:rsidR="007E1642" w:rsidRDefault="00A17B39">
      <w:pPr>
        <w:jc w:val="center"/>
        <w:rPr>
          <w:b/>
          <w:bCs/>
        </w:rPr>
      </w:pPr>
      <w:r>
        <w:rPr>
          <w:b/>
          <w:bCs/>
        </w:rPr>
        <w:t>STATYBOS TECHNINIS REGLAMENTAS</w:t>
      </w:r>
    </w:p>
    <w:p w14:paraId="47E6FCE9" w14:textId="77777777" w:rsidR="007E1642" w:rsidRDefault="007E1642">
      <w:pPr>
        <w:jc w:val="center"/>
        <w:rPr>
          <w:b/>
          <w:bCs/>
        </w:rPr>
      </w:pPr>
    </w:p>
    <w:p w14:paraId="47E6FCEA" w14:textId="57FAF90E" w:rsidR="007E1642" w:rsidRDefault="00A17B39">
      <w:pPr>
        <w:widowControl w:val="0"/>
        <w:suppressAutoHyphens/>
        <w:jc w:val="center"/>
        <w:rPr>
          <w:rFonts w:eastAsia="Arial Unicode MS"/>
          <w:b/>
          <w:bCs/>
          <w:caps/>
        </w:rPr>
      </w:pPr>
      <w:r>
        <w:rPr>
          <w:rFonts w:eastAsia="Arial Unicode MS"/>
          <w:b/>
          <w:bCs/>
          <w:caps/>
        </w:rPr>
        <w:t>STR 2.01.11:2012</w:t>
      </w:r>
    </w:p>
    <w:p w14:paraId="47E6FCEB" w14:textId="011EE6CF" w:rsidR="007E1642" w:rsidRDefault="007E1642">
      <w:pPr>
        <w:widowControl w:val="0"/>
        <w:suppressAutoHyphens/>
        <w:jc w:val="center"/>
        <w:rPr>
          <w:rFonts w:eastAsia="Arial Unicode MS"/>
          <w:b/>
          <w:bCs/>
          <w:caps/>
        </w:rPr>
      </w:pPr>
    </w:p>
    <w:p w14:paraId="47E6FCEC" w14:textId="2E3105CB" w:rsidR="007E1642" w:rsidRDefault="00A17B39">
      <w:pPr>
        <w:widowControl w:val="0"/>
        <w:suppressAutoHyphens/>
        <w:jc w:val="center"/>
        <w:rPr>
          <w:rFonts w:eastAsia="Arial Unicode MS"/>
          <w:b/>
          <w:bCs/>
          <w:caps/>
        </w:rPr>
      </w:pPr>
      <w:r>
        <w:rPr>
          <w:rFonts w:eastAsia="Arial Unicode MS" w:cs="Tahoma"/>
          <w:b/>
          <w:bCs/>
          <w:caps/>
        </w:rPr>
        <w:t xml:space="preserve">IŠORINĖS VĖDINAMOS TERMOIZOLIACINĖS </w:t>
      </w:r>
      <w:r>
        <w:rPr>
          <w:rFonts w:eastAsia="Arial Unicode MS" w:cs="Tahoma"/>
          <w:b/>
          <w:bCs/>
          <w:caps/>
        </w:rPr>
        <w:t>SISTEMOS</w:t>
      </w:r>
    </w:p>
    <w:p w14:paraId="47E6FCED" w14:textId="406E0678" w:rsidR="007E1642" w:rsidRDefault="007E1642">
      <w:pPr>
        <w:widowControl w:val="0"/>
        <w:suppressAutoHyphens/>
        <w:jc w:val="center"/>
        <w:rPr>
          <w:rFonts w:eastAsia="Arial Unicode MS"/>
          <w:b/>
          <w:bCs/>
          <w:caps/>
        </w:rPr>
      </w:pPr>
    </w:p>
    <w:p w14:paraId="47E6FCEE" w14:textId="77777777" w:rsidR="007E1642" w:rsidRDefault="00A17B39">
      <w:pPr>
        <w:widowControl w:val="0"/>
        <w:suppressAutoHyphens/>
        <w:jc w:val="center"/>
        <w:rPr>
          <w:rFonts w:eastAsia="Arial Unicode MS"/>
          <w:b/>
          <w:caps/>
        </w:rPr>
      </w:pPr>
      <w:r>
        <w:rPr>
          <w:rFonts w:eastAsia="Arial Unicode MS"/>
          <w:b/>
          <w:caps/>
        </w:rPr>
        <w:t>I</w:t>
      </w:r>
      <w:r>
        <w:rPr>
          <w:rFonts w:eastAsia="Arial Unicode MS"/>
          <w:b/>
          <w:caps/>
        </w:rPr>
        <w:t xml:space="preserve">. </w:t>
      </w:r>
      <w:r>
        <w:rPr>
          <w:rFonts w:eastAsia="Arial Unicode MS"/>
          <w:b/>
          <w:caps/>
        </w:rPr>
        <w:t>bendrosios nuostatos</w:t>
      </w:r>
    </w:p>
    <w:p w14:paraId="47E6FCEF" w14:textId="77777777" w:rsidR="007E1642" w:rsidRDefault="007E1642">
      <w:pPr>
        <w:widowControl w:val="0"/>
        <w:suppressAutoHyphens/>
        <w:ind w:firstLine="567"/>
        <w:jc w:val="both"/>
        <w:rPr>
          <w:rFonts w:eastAsia="Arial Unicode MS"/>
          <w:b/>
          <w:caps/>
        </w:rPr>
      </w:pPr>
    </w:p>
    <w:p w14:paraId="47E6FCF0" w14:textId="77777777" w:rsidR="007E1642" w:rsidRDefault="00A17B39">
      <w:pPr>
        <w:widowControl w:val="0"/>
        <w:suppressAutoHyphens/>
        <w:ind w:firstLine="567"/>
        <w:jc w:val="both"/>
        <w:rPr>
          <w:rFonts w:eastAsia="Arial Unicode MS"/>
          <w:bCs/>
        </w:rPr>
      </w:pPr>
      <w:r>
        <w:rPr>
          <w:rFonts w:eastAsia="Arial Unicode MS"/>
        </w:rPr>
        <w:t>1</w:t>
      </w:r>
      <w:r>
        <w:rPr>
          <w:rFonts w:eastAsia="Arial Unicode MS"/>
        </w:rPr>
        <w:t xml:space="preserve">. Šis statybos techninis reglamentas (toliau – Reglamentas) parengtas vadovaujantis </w:t>
      </w:r>
      <w:r>
        <w:rPr>
          <w:rFonts w:eastAsia="Arial Unicode MS" w:cs="Tahoma"/>
        </w:rPr>
        <w:t xml:space="preserve">1988 m. gruodžio 21 d. </w:t>
      </w:r>
      <w:r>
        <w:rPr>
          <w:rFonts w:eastAsia="Arial Unicode MS" w:cs="Tahoma"/>
          <w:bCs/>
        </w:rPr>
        <w:t xml:space="preserve">Europos </w:t>
      </w:r>
      <w:r>
        <w:rPr>
          <w:rFonts w:eastAsia="Arial Unicode MS" w:cs="Tahoma"/>
        </w:rPr>
        <w:t>Tarybos direktyvos 89/106/EEB „Dėl valstybių narių įstatymų ir kitų teisės aktų, susijusių su s</w:t>
      </w:r>
      <w:r>
        <w:rPr>
          <w:rFonts w:eastAsia="Arial Unicode MS" w:cs="Tahoma"/>
        </w:rPr>
        <w:t>tatybos produktais, suderinimo“ reikalavimais.</w:t>
      </w:r>
      <w:r>
        <w:rPr>
          <w:rFonts w:eastAsia="Arial Unicode MS"/>
          <w:bCs/>
        </w:rPr>
        <w:t xml:space="preserve"> </w:t>
      </w:r>
    </w:p>
    <w:p w14:paraId="47E6FCF1" w14:textId="77777777" w:rsidR="007E1642" w:rsidRDefault="00A17B39">
      <w:pPr>
        <w:widowControl w:val="0"/>
        <w:suppressAutoHyphens/>
        <w:ind w:firstLine="567"/>
        <w:jc w:val="both"/>
        <w:rPr>
          <w:rFonts w:eastAsia="Arial Unicode MS" w:cs="Tahoma"/>
        </w:rPr>
      </w:pPr>
      <w:r>
        <w:rPr>
          <w:rFonts w:eastAsia="Arial Unicode MS" w:cs="Tahoma"/>
          <w:bCs/>
        </w:rPr>
        <w:t>2</w:t>
      </w:r>
      <w:r>
        <w:rPr>
          <w:rFonts w:eastAsia="Arial Unicode MS" w:cs="Tahoma"/>
          <w:bCs/>
        </w:rPr>
        <w:t>. R</w:t>
      </w:r>
      <w:r>
        <w:rPr>
          <w:rFonts w:eastAsia="Arial Unicode MS" w:cs="Tahoma"/>
        </w:rPr>
        <w:t xml:space="preserve">eglamentas taikomas gyvenamųjų ir negyvenamųjų pastatų </w:t>
      </w:r>
      <w:r>
        <w:rPr>
          <w:rFonts w:eastAsia="Arial Unicode MS" w:cs="Tahoma"/>
          <w:bCs/>
        </w:rPr>
        <w:t>[7.2]</w:t>
      </w:r>
      <w:r>
        <w:rPr>
          <w:rFonts w:eastAsia="Arial Unicode MS" w:cs="Tahoma"/>
        </w:rPr>
        <w:t xml:space="preserve"> atitvarų su išorinėmis vėdinamomis termoizoliacinėmis sistemomis projektavimui ir statybai. </w:t>
      </w:r>
    </w:p>
    <w:p w14:paraId="47E6FCF2" w14:textId="77777777" w:rsidR="007E1642" w:rsidRDefault="00A17B39">
      <w:pPr>
        <w:widowControl w:val="0"/>
        <w:suppressAutoHyphens/>
        <w:ind w:firstLine="567"/>
        <w:jc w:val="both"/>
        <w:rPr>
          <w:rFonts w:eastAsia="Arial Unicode MS" w:cs="Tahoma"/>
        </w:rPr>
      </w:pPr>
      <w:r>
        <w:rPr>
          <w:rFonts w:eastAsia="Arial Unicode MS" w:cs="Tahoma"/>
        </w:rPr>
        <w:t>3</w:t>
      </w:r>
      <w:r>
        <w:rPr>
          <w:rFonts w:eastAsia="Arial Unicode MS" w:cs="Tahoma"/>
        </w:rPr>
        <w:t xml:space="preserve">. Reglamentas nustato reikalavimus naujų, rekonstruojamų ir remontuojamų pastatų </w:t>
      </w:r>
      <w:r>
        <w:rPr>
          <w:rFonts w:eastAsia="Arial Unicode MS" w:cs="Tahoma"/>
          <w:bCs/>
        </w:rPr>
        <w:t xml:space="preserve">[7.1], [7.3] </w:t>
      </w:r>
      <w:r>
        <w:rPr>
          <w:rFonts w:eastAsia="Arial Unicode MS" w:cs="Tahoma"/>
        </w:rPr>
        <w:t>vėdinamų atitvarų projektavimui ir statybai.</w:t>
      </w:r>
    </w:p>
    <w:p w14:paraId="47E6FCF3" w14:textId="77777777" w:rsidR="007E1642" w:rsidRDefault="00A17B39">
      <w:pPr>
        <w:widowControl w:val="0"/>
        <w:suppressAutoHyphens/>
        <w:ind w:firstLine="567"/>
        <w:jc w:val="both"/>
        <w:rPr>
          <w:rFonts w:eastAsia="Arial Unicode MS" w:cs="Tahoma"/>
        </w:rPr>
      </w:pPr>
      <w:r>
        <w:rPr>
          <w:rFonts w:eastAsia="Arial Unicode MS" w:cs="Tahoma"/>
        </w:rPr>
        <w:t>4</w:t>
      </w:r>
      <w:r>
        <w:rPr>
          <w:rFonts w:eastAsia="Arial Unicode MS" w:cs="Tahoma"/>
        </w:rPr>
        <w:t>. Reikalaujama, kad pastatų atitvarų projektavimui ir statybai būtų naudojami tik turintys Europos techninius li</w:t>
      </w:r>
      <w:r>
        <w:rPr>
          <w:rFonts w:eastAsia="Arial Unicode MS" w:cs="Tahoma"/>
        </w:rPr>
        <w:t xml:space="preserve">udijimus (ETL) ir/arba CE ženklu ženklinti išorinės vėdinamos termoizoliacinės sistemos elementai. </w:t>
      </w:r>
    </w:p>
    <w:p w14:paraId="47E6FCF4" w14:textId="77777777" w:rsidR="007E1642" w:rsidRDefault="00A17B39">
      <w:pPr>
        <w:widowControl w:val="0"/>
        <w:suppressAutoHyphens/>
        <w:ind w:firstLine="567"/>
        <w:jc w:val="both"/>
        <w:rPr>
          <w:rFonts w:eastAsia="Arial Unicode MS" w:cs="Tahoma"/>
        </w:rPr>
      </w:pPr>
      <w:r>
        <w:rPr>
          <w:rFonts w:eastAsia="Arial Unicode MS" w:cs="Tahoma"/>
        </w:rPr>
        <w:t>5</w:t>
      </w:r>
      <w:r>
        <w:rPr>
          <w:rFonts w:eastAsia="Arial Unicode MS" w:cs="Tahoma"/>
        </w:rPr>
        <w:t xml:space="preserve">. Reglamentas netaikomas: </w:t>
      </w:r>
    </w:p>
    <w:p w14:paraId="47E6FCF5" w14:textId="77777777" w:rsidR="007E1642" w:rsidRDefault="00A17B39">
      <w:pPr>
        <w:widowControl w:val="0"/>
        <w:suppressAutoHyphens/>
        <w:ind w:firstLine="567"/>
        <w:jc w:val="both"/>
        <w:rPr>
          <w:rFonts w:eastAsia="Arial Unicode MS" w:cs="Tahoma"/>
        </w:rPr>
      </w:pPr>
      <w:r>
        <w:rPr>
          <w:rFonts w:eastAsia="Arial Unicode MS" w:cs="Tahoma"/>
        </w:rPr>
        <w:t>5.1</w:t>
      </w:r>
      <w:r>
        <w:rPr>
          <w:rFonts w:eastAsia="Arial Unicode MS" w:cs="Tahoma"/>
        </w:rPr>
        <w:t>. poilsio paskirties, sodų paskirties pastatams, naudojamiems ne ilgiau kaip keturis mėnesius per metus [7.2];</w:t>
      </w:r>
    </w:p>
    <w:p w14:paraId="47E6FCF6" w14:textId="77777777" w:rsidR="007E1642" w:rsidRDefault="00A17B39">
      <w:pPr>
        <w:widowControl w:val="0"/>
        <w:suppressAutoHyphens/>
        <w:ind w:firstLine="567"/>
        <w:jc w:val="both"/>
        <w:rPr>
          <w:rFonts w:eastAsia="Arial Unicode MS" w:cs="Tahoma"/>
        </w:rPr>
      </w:pPr>
      <w:r>
        <w:rPr>
          <w:rFonts w:eastAsia="Arial Unicode MS" w:cs="Tahoma"/>
        </w:rPr>
        <w:t>5.2</w:t>
      </w:r>
      <w:r>
        <w:rPr>
          <w:rFonts w:eastAsia="Arial Unicode MS" w:cs="Tahoma"/>
        </w:rPr>
        <w:t>.</w:t>
      </w:r>
      <w:r>
        <w:rPr>
          <w:rFonts w:eastAsia="Arial Unicode MS" w:cs="Tahoma"/>
        </w:rPr>
        <w:t xml:space="preserve"> atskirai stovintiems pastatams, kurių naudingasis patalpų plotas ne didesnis kaip 50 kvadratinių metrų;</w:t>
      </w:r>
    </w:p>
    <w:p w14:paraId="47E6FCF7" w14:textId="77777777" w:rsidR="007E1642" w:rsidRDefault="00A17B39">
      <w:pPr>
        <w:widowControl w:val="0"/>
        <w:suppressAutoHyphens/>
        <w:ind w:firstLine="567"/>
        <w:jc w:val="both"/>
        <w:rPr>
          <w:rFonts w:eastAsia="Arial Unicode MS" w:cs="Tahoma"/>
        </w:rPr>
      </w:pPr>
      <w:r>
        <w:rPr>
          <w:rFonts w:eastAsia="Arial Unicode MS" w:cs="Tahoma"/>
        </w:rPr>
        <w:t>5.3</w:t>
      </w:r>
      <w:r>
        <w:rPr>
          <w:rFonts w:eastAsia="Arial Unicode MS" w:cs="Tahoma"/>
        </w:rPr>
        <w:t xml:space="preserve">. nesudėtingiems ir laikiniems pastatams </w:t>
      </w:r>
      <w:r>
        <w:rPr>
          <w:rFonts w:eastAsia="Arial Unicode MS" w:cs="Tahoma"/>
          <w:bCs/>
        </w:rPr>
        <w:t>[7.1].</w:t>
      </w:r>
    </w:p>
    <w:p w14:paraId="47E6FCF8" w14:textId="77777777" w:rsidR="007E1642" w:rsidRDefault="00A17B39">
      <w:pPr>
        <w:ind w:firstLine="567"/>
        <w:jc w:val="both"/>
      </w:pPr>
      <w:r>
        <w:t>6</w:t>
      </w:r>
      <w:r>
        <w:t xml:space="preserve">. Reglamentu siekiama įgyvendinti 1988 m. gruodžio 21 d. </w:t>
      </w:r>
      <w:r>
        <w:rPr>
          <w:bCs/>
        </w:rPr>
        <w:t xml:space="preserve">Europos </w:t>
      </w:r>
      <w:r>
        <w:t>Tarybos direktyvos 89/10</w:t>
      </w:r>
      <w:r>
        <w:t>6/EEB „Dėl valstybių narių įstatymų ir kitų teisės aktų, susijusių su statybos produktais, derinimo“ nuostatas, kad pastatuose naudojamos išorinės vėdinamos termoizoliacinės sistemos būtų projektuojamos ir statomos atsižvelgiant į vietovės klimato ir gyven</w:t>
      </w:r>
      <w:r>
        <w:t>tojų komforto sąlygas taip, kad būtų užtikrintas jų mechaninis atsparumas ir stabilumas, naudojimo sauga, higienos, sveikatos ir aplinkos apsauga, apsauga nuo triukšmo, energijos taupymas ir šilumos išsaugojimas, ilgaamžiškumas.</w:t>
      </w:r>
    </w:p>
    <w:p w14:paraId="47E6FCF9" w14:textId="77777777" w:rsidR="007E1642" w:rsidRDefault="00A17B39">
      <w:pPr>
        <w:ind w:firstLine="567"/>
        <w:jc w:val="both"/>
      </w:pPr>
    </w:p>
    <w:p w14:paraId="47E6FCFA" w14:textId="77777777" w:rsidR="007E1642" w:rsidRDefault="00A17B39">
      <w:pPr>
        <w:widowControl w:val="0"/>
        <w:suppressAutoHyphens/>
        <w:jc w:val="center"/>
        <w:rPr>
          <w:rFonts w:eastAsia="Arial Unicode MS"/>
          <w:b/>
          <w:bCs/>
          <w:caps/>
        </w:rPr>
      </w:pPr>
      <w:r>
        <w:rPr>
          <w:rFonts w:eastAsia="Arial Unicode MS"/>
          <w:b/>
          <w:bCs/>
          <w:caps/>
        </w:rPr>
        <w:t>II</w:t>
      </w:r>
      <w:r>
        <w:rPr>
          <w:rFonts w:eastAsia="Arial Unicode MS"/>
          <w:b/>
          <w:bCs/>
          <w:caps/>
        </w:rPr>
        <w:t xml:space="preserve">. </w:t>
      </w:r>
      <w:r>
        <w:rPr>
          <w:rFonts w:eastAsia="Arial Unicode MS"/>
          <w:b/>
          <w:bCs/>
          <w:caps/>
        </w:rPr>
        <w:t>Nuorodos</w:t>
      </w:r>
    </w:p>
    <w:p w14:paraId="47E6FCFB" w14:textId="77777777" w:rsidR="007E1642" w:rsidRDefault="007E1642">
      <w:pPr>
        <w:widowControl w:val="0"/>
        <w:suppressAutoHyphens/>
        <w:ind w:firstLine="567"/>
        <w:jc w:val="both"/>
        <w:rPr>
          <w:rFonts w:eastAsia="Arial Unicode MS"/>
        </w:rPr>
      </w:pPr>
    </w:p>
    <w:p w14:paraId="47E6FCFC" w14:textId="77777777" w:rsidR="007E1642" w:rsidRDefault="00A17B39">
      <w:pPr>
        <w:widowControl w:val="0"/>
        <w:suppressAutoHyphens/>
        <w:ind w:firstLine="567"/>
        <w:jc w:val="both"/>
        <w:rPr>
          <w:rFonts w:eastAsia="Arial Unicode MS"/>
        </w:rPr>
      </w:pPr>
      <w:r>
        <w:rPr>
          <w:rFonts w:eastAsia="Arial Unicode MS"/>
        </w:rPr>
        <w:t>7</w:t>
      </w:r>
      <w:r>
        <w:rPr>
          <w:rFonts w:eastAsia="Arial Unicode MS"/>
        </w:rPr>
        <w:t>.</w:t>
      </w:r>
      <w:r>
        <w:rPr>
          <w:rFonts w:eastAsia="Arial Unicode MS"/>
        </w:rPr>
        <w:t xml:space="preserve"> Reglamente pateiktos nuorodos į šiuos dokumentus:</w:t>
      </w:r>
    </w:p>
    <w:p w14:paraId="47E6FCFD" w14:textId="77777777" w:rsidR="007E1642" w:rsidRDefault="00A17B39">
      <w:pPr>
        <w:widowControl w:val="0"/>
        <w:suppressAutoHyphens/>
        <w:ind w:firstLine="567"/>
        <w:jc w:val="both"/>
        <w:rPr>
          <w:rFonts w:eastAsia="Arial Unicode MS"/>
        </w:rPr>
      </w:pPr>
      <w:r>
        <w:rPr>
          <w:rFonts w:eastAsia="Arial Unicode MS"/>
        </w:rPr>
        <w:t>7.1</w:t>
      </w:r>
      <w:r>
        <w:rPr>
          <w:rFonts w:eastAsia="Arial Unicode MS"/>
        </w:rPr>
        <w:t>. Lietuvos Respublikos statybos įstatymą (</w:t>
      </w:r>
      <w:proofErr w:type="spellStart"/>
      <w:r>
        <w:rPr>
          <w:rFonts w:eastAsia="Arial Unicode MS"/>
        </w:rPr>
        <w:t>Žin</w:t>
      </w:r>
      <w:proofErr w:type="spellEnd"/>
      <w:r>
        <w:rPr>
          <w:rFonts w:eastAsia="Arial Unicode MS"/>
        </w:rPr>
        <w:t xml:space="preserve">., 1996, Nr. </w:t>
      </w:r>
      <w:hyperlink r:id="rId15" w:tgtFrame="_blank" w:history="1">
        <w:r>
          <w:rPr>
            <w:rFonts w:eastAsia="Arial Unicode MS"/>
            <w:color w:val="0000FF" w:themeColor="hyperlink"/>
            <w:u w:val="single"/>
          </w:rPr>
          <w:t>32-788</w:t>
        </w:r>
      </w:hyperlink>
      <w:r>
        <w:rPr>
          <w:rFonts w:eastAsia="Arial Unicode MS"/>
        </w:rPr>
        <w:t xml:space="preserve">; 2001, Nr. </w:t>
      </w:r>
      <w:hyperlink r:id="rId16" w:tgtFrame="_blank" w:history="1">
        <w:r>
          <w:rPr>
            <w:rFonts w:eastAsia="Arial Unicode MS"/>
            <w:color w:val="0000FF" w:themeColor="hyperlink"/>
            <w:u w:val="single"/>
          </w:rPr>
          <w:t>101-3597</w:t>
        </w:r>
      </w:hyperlink>
      <w:r>
        <w:rPr>
          <w:rFonts w:eastAsia="Arial Unicode MS"/>
        </w:rPr>
        <w:t xml:space="preserve">); </w:t>
      </w:r>
    </w:p>
    <w:p w14:paraId="47E6FCFE" w14:textId="77777777" w:rsidR="007E1642" w:rsidRDefault="00A17B39">
      <w:pPr>
        <w:widowControl w:val="0"/>
        <w:suppressAutoHyphens/>
        <w:ind w:firstLine="567"/>
        <w:jc w:val="both"/>
        <w:rPr>
          <w:rFonts w:eastAsia="Arial Unicode MS"/>
        </w:rPr>
      </w:pPr>
      <w:r>
        <w:rPr>
          <w:rFonts w:eastAsia="Arial Unicode MS"/>
        </w:rPr>
        <w:t>7.2</w:t>
      </w:r>
      <w:r>
        <w:rPr>
          <w:rFonts w:eastAsia="Arial Unicode MS"/>
        </w:rPr>
        <w:t>. statybos techninį reglamentą STR 1.01.09:2003 „Statinių klasifikavimas pagal jų naudojimo paskirtį“,</w:t>
      </w:r>
      <w:r>
        <w:rPr>
          <w:rFonts w:eastAsia="Arial Unicode MS" w:cs="Tahoma"/>
        </w:rPr>
        <w:t xml:space="preserve"> patvirtintą Lietuvos Respublikos aplinkos ministro 2003 m. birželio 11 d. įsakymu Nr. 289 „Dėl statybos techninio reglamento STR 1.01.09:2003 „Statinių klasifikavimas pagal jų naudojimo paskirtį“ patvirtinimo“ (</w:t>
      </w:r>
      <w:proofErr w:type="spellStart"/>
      <w:r>
        <w:rPr>
          <w:rFonts w:eastAsia="Arial Unicode MS" w:cs="Tahoma"/>
        </w:rPr>
        <w:t>Žin</w:t>
      </w:r>
      <w:proofErr w:type="spellEnd"/>
      <w:r>
        <w:rPr>
          <w:rFonts w:eastAsia="Arial Unicode MS" w:cs="Tahoma"/>
        </w:rPr>
        <w:t xml:space="preserve">., 2003, Nr. </w:t>
      </w:r>
      <w:hyperlink r:id="rId17" w:tgtFrame="_blank" w:history="1">
        <w:r>
          <w:rPr>
            <w:rFonts w:eastAsia="Arial Unicode MS" w:cs="Tahoma"/>
            <w:color w:val="0000FF" w:themeColor="hyperlink"/>
            <w:u w:val="single"/>
          </w:rPr>
          <w:t>58-2611</w:t>
        </w:r>
      </w:hyperlink>
      <w:r>
        <w:rPr>
          <w:rFonts w:eastAsia="Arial Unicode MS" w:cs="Tahoma"/>
        </w:rPr>
        <w:t>)</w:t>
      </w:r>
      <w:r>
        <w:rPr>
          <w:rFonts w:eastAsia="Arial Unicode MS"/>
        </w:rPr>
        <w:t>;</w:t>
      </w:r>
    </w:p>
    <w:p w14:paraId="47E6FCFF" w14:textId="77777777" w:rsidR="007E1642" w:rsidRDefault="00A17B39">
      <w:pPr>
        <w:widowControl w:val="0"/>
        <w:suppressAutoHyphens/>
        <w:ind w:firstLine="567"/>
        <w:jc w:val="both"/>
        <w:rPr>
          <w:rFonts w:eastAsia="Arial Unicode MS"/>
        </w:rPr>
      </w:pPr>
      <w:r>
        <w:rPr>
          <w:rFonts w:eastAsia="Arial Unicode MS"/>
        </w:rPr>
        <w:t>7.3</w:t>
      </w:r>
      <w:r>
        <w:rPr>
          <w:rFonts w:eastAsia="Arial Unicode MS"/>
        </w:rPr>
        <w:t>. statybos techninį reglamentą STR 1.01.08:2002 „Statinio statybos rūšys“,</w:t>
      </w:r>
      <w:r>
        <w:rPr>
          <w:rFonts w:eastAsia="Arial Unicode MS" w:cs="Tahoma"/>
        </w:rPr>
        <w:t xml:space="preserve"> patvirtintą Lietuvos Respublikos aplinkos ministro 2002 m. gruodžio 5 d. įsakymu Nr. 622 „Dėl statybos techninio </w:t>
      </w:r>
      <w:r>
        <w:rPr>
          <w:rFonts w:eastAsia="Arial Unicode MS" w:cs="Tahoma"/>
        </w:rPr>
        <w:t>reglamento STR 1.01.08:2002 „</w:t>
      </w:r>
      <w:r>
        <w:rPr>
          <w:rFonts w:eastAsia="Arial Unicode MS"/>
        </w:rPr>
        <w:t>Statinio statybos rūšys</w:t>
      </w:r>
      <w:r>
        <w:rPr>
          <w:rFonts w:eastAsia="Arial Unicode MS" w:cs="Tahoma"/>
        </w:rPr>
        <w:t>“ patvirtinimo“</w:t>
      </w:r>
      <w:r>
        <w:rPr>
          <w:rFonts w:eastAsia="Arial Unicode MS"/>
        </w:rPr>
        <w:t xml:space="preserve"> (</w:t>
      </w:r>
      <w:proofErr w:type="spellStart"/>
      <w:r>
        <w:rPr>
          <w:rFonts w:eastAsia="Arial Unicode MS"/>
        </w:rPr>
        <w:t>Žin</w:t>
      </w:r>
      <w:proofErr w:type="spellEnd"/>
      <w:r>
        <w:rPr>
          <w:rFonts w:eastAsia="Arial Unicode MS"/>
        </w:rPr>
        <w:t xml:space="preserve">., 2002, Nr. </w:t>
      </w:r>
      <w:hyperlink r:id="rId18" w:tgtFrame="_blank" w:history="1">
        <w:r>
          <w:rPr>
            <w:rFonts w:eastAsia="Arial Unicode MS"/>
            <w:color w:val="0000FF" w:themeColor="hyperlink"/>
            <w:u w:val="single"/>
          </w:rPr>
          <w:t>119-5372</w:t>
        </w:r>
      </w:hyperlink>
      <w:r>
        <w:rPr>
          <w:rFonts w:eastAsia="Arial Unicode MS"/>
        </w:rPr>
        <w:t>);</w:t>
      </w:r>
    </w:p>
    <w:p w14:paraId="47E6FD00" w14:textId="77777777" w:rsidR="007E1642" w:rsidRDefault="00A17B39">
      <w:pPr>
        <w:widowControl w:val="0"/>
        <w:suppressAutoHyphens/>
        <w:ind w:firstLine="567"/>
        <w:jc w:val="both"/>
        <w:rPr>
          <w:rFonts w:eastAsia="Arial Unicode MS"/>
        </w:rPr>
      </w:pPr>
      <w:r>
        <w:rPr>
          <w:rFonts w:eastAsia="Arial Unicode MS"/>
        </w:rPr>
        <w:t>7.4</w:t>
      </w:r>
      <w:r>
        <w:rPr>
          <w:rFonts w:eastAsia="Arial Unicode MS"/>
        </w:rPr>
        <w:t>. statybos techninį reglamentą STR 2.05.01:2005 „Pastatų atitvarų šiluminė</w:t>
      </w:r>
      <w:r>
        <w:rPr>
          <w:rFonts w:eastAsia="Arial Unicode MS"/>
        </w:rPr>
        <w:t xml:space="preserve"> technika“, </w:t>
      </w:r>
      <w:r>
        <w:rPr>
          <w:rFonts w:eastAsia="Arial Unicode MS" w:cs="Tahoma"/>
        </w:rPr>
        <w:t xml:space="preserve">patvirtintą Lietuvos Respublikos aplinkos ministro 2005 m. kovo 18 d. įsakymu Nr. D1-156 „Dėl statybos techninio reglamento </w:t>
      </w:r>
      <w:r>
        <w:rPr>
          <w:rFonts w:eastAsia="Arial Unicode MS"/>
        </w:rPr>
        <w:t xml:space="preserve">STR 2.05.01:2005 „Pastatų atitvarų šiluminė </w:t>
      </w:r>
      <w:r>
        <w:rPr>
          <w:rFonts w:eastAsia="Arial Unicode MS"/>
        </w:rPr>
        <w:lastRenderedPageBreak/>
        <w:t>technika“</w:t>
      </w:r>
      <w:r>
        <w:rPr>
          <w:rFonts w:eastAsia="Arial Unicode MS" w:cs="Tahoma"/>
        </w:rPr>
        <w:t xml:space="preserve"> patvirtinimo“</w:t>
      </w:r>
      <w:r>
        <w:rPr>
          <w:rFonts w:eastAsia="Arial Unicode MS"/>
        </w:rPr>
        <w:t xml:space="preserve"> (</w:t>
      </w:r>
      <w:proofErr w:type="spellStart"/>
      <w:r>
        <w:rPr>
          <w:rFonts w:eastAsia="Arial Unicode MS"/>
        </w:rPr>
        <w:t>Žin</w:t>
      </w:r>
      <w:proofErr w:type="spellEnd"/>
      <w:r>
        <w:rPr>
          <w:rFonts w:eastAsia="Arial Unicode MS"/>
        </w:rPr>
        <w:t xml:space="preserve">., 2005, Nr. </w:t>
      </w:r>
      <w:hyperlink r:id="rId19" w:tgtFrame="_blank" w:history="1">
        <w:r>
          <w:rPr>
            <w:rFonts w:eastAsia="Arial Unicode MS"/>
            <w:color w:val="0000FF" w:themeColor="hyperlink"/>
            <w:u w:val="single"/>
          </w:rPr>
          <w:t>100-3733</w:t>
        </w:r>
      </w:hyperlink>
      <w:r>
        <w:rPr>
          <w:rFonts w:eastAsia="Arial Unicode MS"/>
        </w:rPr>
        <w:t xml:space="preserve">); </w:t>
      </w:r>
    </w:p>
    <w:p w14:paraId="47E6FD01" w14:textId="77777777" w:rsidR="007E1642" w:rsidRDefault="00A17B39">
      <w:pPr>
        <w:widowControl w:val="0"/>
        <w:suppressAutoHyphens/>
        <w:ind w:firstLine="567"/>
        <w:jc w:val="both"/>
        <w:rPr>
          <w:rFonts w:eastAsia="Arial Unicode MS" w:cs="Tahoma"/>
        </w:rPr>
      </w:pPr>
      <w:r>
        <w:rPr>
          <w:rFonts w:eastAsia="Arial Unicode MS" w:cs="Tahoma"/>
        </w:rPr>
        <w:t>7.5</w:t>
      </w:r>
      <w:r>
        <w:rPr>
          <w:rFonts w:eastAsia="Arial Unicode MS" w:cs="Tahoma"/>
        </w:rPr>
        <w:t xml:space="preserve">. </w:t>
      </w:r>
      <w:r>
        <w:rPr>
          <w:rFonts w:eastAsia="Arial Unicode MS"/>
        </w:rPr>
        <w:t xml:space="preserve">statybos techninį reglamentą </w:t>
      </w:r>
      <w:r>
        <w:rPr>
          <w:rFonts w:eastAsia="Arial Unicode MS" w:cs="Tahoma"/>
        </w:rPr>
        <w:t>STR 2.05.04:2003 „Poveikiai ir apkrovos“, patvirtintą Lietuvos Respublikos aplinkos ministro 2003 m. gegužės 15 d. įsakymu Nr. 233 „Dėl statybos techninio reglame</w:t>
      </w:r>
      <w:r>
        <w:rPr>
          <w:rFonts w:eastAsia="Arial Unicode MS" w:cs="Tahoma"/>
        </w:rPr>
        <w:t>nto STR 2.05.04:2003 „Poveikiai ir apkrovos“ patvirtinimo“ (</w:t>
      </w:r>
      <w:proofErr w:type="spellStart"/>
      <w:r>
        <w:rPr>
          <w:rFonts w:eastAsia="Arial Unicode MS" w:cs="Tahoma"/>
        </w:rPr>
        <w:t>Žin</w:t>
      </w:r>
      <w:proofErr w:type="spellEnd"/>
      <w:r>
        <w:rPr>
          <w:rFonts w:eastAsia="Arial Unicode MS" w:cs="Tahoma"/>
        </w:rPr>
        <w:t xml:space="preserve">., 2003, Nr. </w:t>
      </w:r>
      <w:hyperlink r:id="rId20" w:tgtFrame="_blank" w:history="1">
        <w:r>
          <w:rPr>
            <w:rFonts w:eastAsia="Arial Unicode MS" w:cs="Tahoma"/>
            <w:color w:val="0000FF" w:themeColor="hyperlink"/>
            <w:u w:val="single"/>
          </w:rPr>
          <w:t>59-2683</w:t>
        </w:r>
      </w:hyperlink>
      <w:r>
        <w:rPr>
          <w:rFonts w:eastAsia="Arial Unicode MS" w:cs="Tahoma"/>
        </w:rPr>
        <w:t>);</w:t>
      </w:r>
    </w:p>
    <w:p w14:paraId="47E6FD02" w14:textId="77777777" w:rsidR="007E1642" w:rsidRDefault="00A17B39">
      <w:pPr>
        <w:widowControl w:val="0"/>
        <w:suppressAutoHyphens/>
        <w:ind w:firstLine="567"/>
        <w:jc w:val="both"/>
        <w:rPr>
          <w:rFonts w:eastAsia="Arial Unicode MS" w:cs="Tahoma"/>
        </w:rPr>
      </w:pPr>
      <w:r>
        <w:rPr>
          <w:rFonts w:eastAsia="Arial Unicode MS" w:cs="Tahoma"/>
        </w:rPr>
        <w:t>7.6</w:t>
      </w:r>
      <w:r>
        <w:rPr>
          <w:rFonts w:eastAsia="Arial Unicode MS" w:cs="Tahoma"/>
        </w:rPr>
        <w:t xml:space="preserve">. </w:t>
      </w:r>
      <w:r>
        <w:rPr>
          <w:rFonts w:eastAsia="Arial Unicode MS"/>
        </w:rPr>
        <w:t>statybos techninį reglamentą STR 2.01.03:2009 „Statybinių medžiagų ir gaminių šilu</w:t>
      </w:r>
      <w:r>
        <w:rPr>
          <w:rFonts w:eastAsia="Arial Unicode MS"/>
        </w:rPr>
        <w:t>minių techninių dydžių projektinės vertės“,</w:t>
      </w:r>
      <w:r>
        <w:rPr>
          <w:rFonts w:eastAsia="Arial Unicode MS" w:cs="Tahoma"/>
        </w:rPr>
        <w:t xml:space="preserve"> patvirtintą Lietuvos Respublikos aplinkos ministro 2009 m. liepos 29 d. įsakymu Nr. D1-451 „Dėl statybos techninio reglamento </w:t>
      </w:r>
      <w:r>
        <w:rPr>
          <w:rFonts w:eastAsia="Arial Unicode MS"/>
        </w:rPr>
        <w:t>STR 2.01.03:2009 „Statybinių medžiagų ir gaminių šiluminių techninių dydžių projektinė</w:t>
      </w:r>
      <w:r>
        <w:rPr>
          <w:rFonts w:eastAsia="Arial Unicode MS"/>
        </w:rPr>
        <w:t>s vertės“</w:t>
      </w:r>
      <w:r>
        <w:rPr>
          <w:rFonts w:eastAsia="Arial Unicode MS"/>
          <w:bCs/>
        </w:rPr>
        <w:t xml:space="preserve"> (</w:t>
      </w:r>
      <w:proofErr w:type="spellStart"/>
      <w:r>
        <w:rPr>
          <w:rFonts w:eastAsia="Arial Unicode MS"/>
          <w:bCs/>
        </w:rPr>
        <w:t>Žin</w:t>
      </w:r>
      <w:proofErr w:type="spellEnd"/>
      <w:r>
        <w:rPr>
          <w:rFonts w:eastAsia="Arial Unicode MS"/>
          <w:bCs/>
        </w:rPr>
        <w:t xml:space="preserve">., 2009, Nr. </w:t>
      </w:r>
      <w:hyperlink r:id="rId21" w:tgtFrame="_blank" w:history="1">
        <w:r>
          <w:rPr>
            <w:rFonts w:eastAsia="Arial Unicode MS"/>
            <w:bCs/>
            <w:color w:val="0000FF" w:themeColor="hyperlink"/>
            <w:u w:val="single"/>
          </w:rPr>
          <w:t>95-4047</w:t>
        </w:r>
      </w:hyperlink>
      <w:r>
        <w:rPr>
          <w:rFonts w:eastAsia="Arial Unicode MS"/>
          <w:bCs/>
        </w:rPr>
        <w:t>); </w:t>
      </w:r>
    </w:p>
    <w:p w14:paraId="47E6FD03" w14:textId="77777777" w:rsidR="007E1642" w:rsidRDefault="00A17B39">
      <w:pPr>
        <w:ind w:firstLine="567"/>
        <w:jc w:val="both"/>
        <w:rPr>
          <w:b/>
        </w:rPr>
      </w:pPr>
      <w:r>
        <w:t>7.7</w:t>
      </w:r>
      <w:r>
        <w:t>. statybos techninį reglamentą STR 2.01.07:2003</w:t>
      </w:r>
      <w:r>
        <w:rPr>
          <w:b/>
        </w:rPr>
        <w:t xml:space="preserve"> </w:t>
      </w:r>
      <w:r>
        <w:t>„Pastatų vidaus ir išorės aplinkos apsauga nuo triukšmo“, patvirtintą Lietuvos Respu</w:t>
      </w:r>
      <w:r>
        <w:t>blikos aplinkos ministro 2003 m. liepos 17 d. įsakymu Nr. 387 „Dėl statybos techninio reglamento STR 2.01.07:2003</w:t>
      </w:r>
      <w:r>
        <w:rPr>
          <w:b/>
        </w:rPr>
        <w:t xml:space="preserve"> „</w:t>
      </w:r>
      <w:r>
        <w:t>Pastatų vidaus ir išorės aplinkos apsauga nuo triukšmo“ patvirtinimo“ (</w:t>
      </w:r>
      <w:proofErr w:type="spellStart"/>
      <w:r>
        <w:t>Žin</w:t>
      </w:r>
      <w:proofErr w:type="spellEnd"/>
      <w:r>
        <w:t>., 2003, Nr. </w:t>
      </w:r>
      <w:hyperlink r:id="rId22" w:tgtFrame="_blank" w:history="1">
        <w:r>
          <w:rPr>
            <w:color w:val="0000FF" w:themeColor="hyperlink"/>
            <w:u w:val="single"/>
          </w:rPr>
          <w:t>79-3614</w:t>
        </w:r>
      </w:hyperlink>
      <w:r>
        <w:t>);</w:t>
      </w:r>
      <w:r>
        <w:rPr>
          <w:rFonts w:ascii="Tahoma" w:hAnsi="Tahoma" w:cs="Tahoma"/>
          <w:b/>
          <w:bCs/>
        </w:rPr>
        <w:t xml:space="preserve"> </w:t>
      </w:r>
    </w:p>
    <w:p w14:paraId="47E6FD04" w14:textId="77777777" w:rsidR="007E1642" w:rsidRDefault="00A17B39">
      <w:pPr>
        <w:widowControl w:val="0"/>
        <w:suppressAutoHyphens/>
        <w:ind w:firstLine="567"/>
        <w:jc w:val="both"/>
        <w:rPr>
          <w:rFonts w:eastAsia="Arial Unicode MS" w:cs="Tahoma"/>
        </w:rPr>
      </w:pPr>
      <w:r>
        <w:rPr>
          <w:rFonts w:eastAsia="Arial Unicode MS" w:cs="Tahoma"/>
        </w:rPr>
        <w:t>7.8</w:t>
      </w:r>
      <w:r>
        <w:rPr>
          <w:rFonts w:eastAsia="Arial Unicode MS" w:cs="Tahoma"/>
        </w:rPr>
        <w:t>. LST EN ISO 10211:2008 „Statybinių konstrukcijų šiluminiai tilteliai. Šilumos srautai ir paviršiaus temperatūros. Detalieji skaičiavimai (ISO 10211:2007)“;</w:t>
      </w:r>
    </w:p>
    <w:p w14:paraId="47E6FD05" w14:textId="77777777" w:rsidR="007E1642" w:rsidRDefault="00A17B39">
      <w:pPr>
        <w:widowControl w:val="0"/>
        <w:suppressAutoHyphens/>
        <w:ind w:firstLine="567"/>
        <w:jc w:val="both"/>
        <w:rPr>
          <w:rFonts w:eastAsia="Arial Unicode MS" w:cs="Tahoma"/>
        </w:rPr>
      </w:pPr>
      <w:r>
        <w:rPr>
          <w:rFonts w:eastAsia="Arial Unicode MS" w:cs="Tahoma"/>
        </w:rPr>
        <w:t>7.9</w:t>
      </w:r>
      <w:r>
        <w:rPr>
          <w:rFonts w:eastAsia="Arial Unicode MS" w:cs="Tahoma"/>
        </w:rPr>
        <w:t xml:space="preserve">. LST EN ISO 8990 „Termoizoliacija. </w:t>
      </w:r>
      <w:proofErr w:type="spellStart"/>
      <w:r>
        <w:rPr>
          <w:rFonts w:eastAsia="Arial Unicode MS" w:cs="Tahoma"/>
        </w:rPr>
        <w:t>Nuostoviojo</w:t>
      </w:r>
      <w:proofErr w:type="spellEnd"/>
      <w:r>
        <w:rPr>
          <w:rFonts w:eastAsia="Arial Unicode MS" w:cs="Tahoma"/>
        </w:rPr>
        <w:t xml:space="preserve"> šilumos perdavimo savybių nustatymas. Saugiosios karštos ir kalibruotos dėžės metodai“;</w:t>
      </w:r>
    </w:p>
    <w:p w14:paraId="47E6FD06" w14:textId="77777777" w:rsidR="007E1642" w:rsidRDefault="00A17B39">
      <w:pPr>
        <w:widowControl w:val="0"/>
        <w:suppressAutoHyphens/>
        <w:ind w:firstLine="567"/>
        <w:jc w:val="both"/>
        <w:rPr>
          <w:rFonts w:eastAsia="Arial Unicode MS"/>
        </w:rPr>
      </w:pPr>
      <w:r>
        <w:rPr>
          <w:rFonts w:eastAsia="Arial Unicode MS" w:cs="Tahoma"/>
        </w:rPr>
        <w:t>7.10</w:t>
      </w:r>
      <w:r>
        <w:rPr>
          <w:rFonts w:eastAsia="Arial Unicode MS" w:cs="Tahoma"/>
        </w:rPr>
        <w:t xml:space="preserve">. </w:t>
      </w:r>
      <w:r>
        <w:rPr>
          <w:rFonts w:eastAsia="Arial Unicode MS"/>
        </w:rPr>
        <w:t>ISO 7892:1998 „Vertikalieji pastatų elementai. Atsparumo mechaniniams poveikiams bandymai. Mechaninio pov</w:t>
      </w:r>
      <w:r>
        <w:rPr>
          <w:rFonts w:eastAsia="Arial Unicode MS"/>
        </w:rPr>
        <w:t>eikio priemonės ir bendrosios bandymų procedūros“;</w:t>
      </w:r>
    </w:p>
    <w:p w14:paraId="47E6FD07" w14:textId="77777777" w:rsidR="007E1642" w:rsidRDefault="00A17B39">
      <w:pPr>
        <w:widowControl w:val="0"/>
        <w:suppressAutoHyphens/>
        <w:ind w:firstLine="567"/>
        <w:jc w:val="both"/>
        <w:rPr>
          <w:rFonts w:eastAsia="Arial Unicode MS"/>
        </w:rPr>
      </w:pPr>
      <w:r>
        <w:rPr>
          <w:rFonts w:eastAsia="Arial Unicode MS"/>
        </w:rPr>
        <w:t>7.11</w:t>
      </w:r>
      <w:r>
        <w:rPr>
          <w:rFonts w:eastAsia="Arial Unicode MS"/>
        </w:rPr>
        <w:t xml:space="preserve">. </w:t>
      </w:r>
      <w:r>
        <w:rPr>
          <w:rFonts w:eastAsia="Arial Unicode MS"/>
          <w:bCs/>
        </w:rPr>
        <w:t>LST EN 1991-1-1:2004/AC:2009</w:t>
      </w:r>
      <w:r>
        <w:rPr>
          <w:rFonts w:eastAsia="Arial Unicode MS"/>
        </w:rPr>
        <w:t> „</w:t>
      </w:r>
      <w:proofErr w:type="spellStart"/>
      <w:r>
        <w:rPr>
          <w:rFonts w:eastAsia="Arial Unicode MS"/>
        </w:rPr>
        <w:t>Eurokodas</w:t>
      </w:r>
      <w:proofErr w:type="spellEnd"/>
      <w:r>
        <w:rPr>
          <w:rFonts w:eastAsia="Arial Unicode MS"/>
        </w:rPr>
        <w:t xml:space="preserve"> 1. Poveikiai konstrukcijoms. 1-1 dalis. Bendrieji poveikiai. Tankiai, savasis svoris, pastatų naudojimo apkrovos“;</w:t>
      </w:r>
    </w:p>
    <w:p w14:paraId="47E6FD08" w14:textId="77777777" w:rsidR="007E1642" w:rsidRDefault="00A17B39">
      <w:pPr>
        <w:widowControl w:val="0"/>
        <w:suppressAutoHyphens/>
        <w:ind w:firstLine="567"/>
        <w:jc w:val="both"/>
        <w:rPr>
          <w:rFonts w:eastAsia="Arial Unicode MS"/>
        </w:rPr>
      </w:pPr>
      <w:r>
        <w:rPr>
          <w:rFonts w:eastAsia="Arial Unicode MS"/>
        </w:rPr>
        <w:t>7.12</w:t>
      </w:r>
      <w:r>
        <w:rPr>
          <w:rFonts w:eastAsia="Arial Unicode MS"/>
        </w:rPr>
        <w:t xml:space="preserve">. </w:t>
      </w:r>
      <w:r>
        <w:rPr>
          <w:rFonts w:eastAsia="Arial Unicode MS" w:cs="Tahoma"/>
          <w:bCs/>
        </w:rPr>
        <w:t>LST EN 12354-3P „</w:t>
      </w:r>
      <w:r>
        <w:rPr>
          <w:rFonts w:eastAsia="Arial Unicode MS"/>
        </w:rPr>
        <w:t>Statybinė aku</w:t>
      </w:r>
      <w:r>
        <w:rPr>
          <w:rFonts w:eastAsia="Arial Unicode MS"/>
        </w:rPr>
        <w:t>stika. Statinių akustinių charakteristikų įvertinimas pagal jų elementų charakteristikas. 3 dalis. Iš išorės aplinkos ore sklindančio garso izoliavimas“</w:t>
      </w:r>
    </w:p>
    <w:p w14:paraId="47E6FD09" w14:textId="77777777" w:rsidR="007E1642" w:rsidRDefault="00A17B39">
      <w:pPr>
        <w:widowControl w:val="0"/>
        <w:suppressAutoHyphens/>
        <w:ind w:firstLine="567"/>
        <w:jc w:val="both"/>
        <w:rPr>
          <w:rFonts w:eastAsia="Arial Unicode MS" w:cs="Tahoma"/>
        </w:rPr>
      </w:pPr>
      <w:r>
        <w:rPr>
          <w:rFonts w:eastAsia="Arial Unicode MS"/>
        </w:rPr>
        <w:t>7.13</w:t>
      </w:r>
      <w:r>
        <w:rPr>
          <w:rFonts w:eastAsia="Arial Unicode MS"/>
        </w:rPr>
        <w:t>. LST EN 13022-1:2006+A1:2010 „</w:t>
      </w:r>
      <w:r>
        <w:rPr>
          <w:rFonts w:eastAsia="Arial Unicode MS" w:cs="Tahoma"/>
        </w:rPr>
        <w:t>Statybinis stiklas. Konstrukcinis sandarusis įstiklinimas. 1 dal</w:t>
      </w:r>
      <w:r>
        <w:rPr>
          <w:rFonts w:eastAsia="Arial Unicode MS" w:cs="Tahoma"/>
        </w:rPr>
        <w:t xml:space="preserve">is. Stiklo gaminiai, skirti </w:t>
      </w:r>
      <w:proofErr w:type="spellStart"/>
      <w:r>
        <w:rPr>
          <w:rFonts w:eastAsia="Arial Unicode MS" w:cs="Tahoma"/>
        </w:rPr>
        <w:t>vientisojo</w:t>
      </w:r>
      <w:proofErr w:type="spellEnd"/>
      <w:r>
        <w:rPr>
          <w:rFonts w:eastAsia="Arial Unicode MS" w:cs="Tahoma"/>
        </w:rPr>
        <w:t xml:space="preserve"> įstiklinimo ir stiklo paketų su </w:t>
      </w:r>
      <w:proofErr w:type="spellStart"/>
      <w:r>
        <w:rPr>
          <w:rFonts w:eastAsia="Arial Unicode MS" w:cs="Tahoma"/>
        </w:rPr>
        <w:t>pakišalu</w:t>
      </w:r>
      <w:proofErr w:type="spellEnd"/>
      <w:r>
        <w:rPr>
          <w:rFonts w:eastAsia="Arial Unicode MS" w:cs="Tahoma"/>
        </w:rPr>
        <w:t xml:space="preserve"> arba be jo konstrukcinio sandariojo įstiklinimo sistemoms“; </w:t>
      </w:r>
    </w:p>
    <w:p w14:paraId="47E6FD0A" w14:textId="77777777" w:rsidR="007E1642" w:rsidRDefault="00A17B39">
      <w:pPr>
        <w:widowControl w:val="0"/>
        <w:suppressAutoHyphens/>
        <w:ind w:firstLine="567"/>
        <w:jc w:val="both"/>
        <w:rPr>
          <w:rFonts w:eastAsia="Arial Unicode MS" w:cs="Tahoma"/>
        </w:rPr>
      </w:pPr>
      <w:r>
        <w:rPr>
          <w:rFonts w:eastAsia="Arial Unicode MS" w:cs="Tahoma"/>
          <w:iCs/>
        </w:rPr>
        <w:t>7.14</w:t>
      </w:r>
      <w:r>
        <w:rPr>
          <w:rFonts w:eastAsia="Arial Unicode MS" w:cs="Tahoma"/>
          <w:iCs/>
        </w:rPr>
        <w:t>. LST EN 13830:2005 „</w:t>
      </w:r>
      <w:r>
        <w:rPr>
          <w:rFonts w:eastAsia="Arial Unicode MS" w:cs="Tahoma"/>
        </w:rPr>
        <w:t>Sienos apdaras. Gaminio standartas“;</w:t>
      </w:r>
    </w:p>
    <w:p w14:paraId="47E6FD0B" w14:textId="77777777" w:rsidR="007E1642" w:rsidRDefault="00A17B39">
      <w:pPr>
        <w:widowControl w:val="0"/>
        <w:suppressAutoHyphens/>
        <w:ind w:firstLine="567"/>
        <w:jc w:val="both"/>
        <w:rPr>
          <w:rFonts w:eastAsia="Arial Unicode MS" w:cs="Tahoma"/>
        </w:rPr>
      </w:pPr>
      <w:r>
        <w:rPr>
          <w:rFonts w:eastAsia="Arial Unicode MS" w:cs="Tahoma"/>
          <w:bCs/>
        </w:rPr>
        <w:t>7.15</w:t>
      </w:r>
      <w:r>
        <w:rPr>
          <w:rFonts w:eastAsia="Arial Unicode MS" w:cs="Tahoma"/>
          <w:bCs/>
        </w:rPr>
        <w:t>. LST EN 14509:2007 „</w:t>
      </w:r>
      <w:proofErr w:type="spellStart"/>
      <w:r>
        <w:rPr>
          <w:rFonts w:eastAsia="Arial Unicode MS" w:cs="Tahoma"/>
        </w:rPr>
        <w:t>Savilaikės</w:t>
      </w:r>
      <w:proofErr w:type="spellEnd"/>
      <w:r>
        <w:rPr>
          <w:rFonts w:eastAsia="Arial Unicode MS" w:cs="Tahoma"/>
        </w:rPr>
        <w:t xml:space="preserve"> dvisienės</w:t>
      </w:r>
      <w:r>
        <w:rPr>
          <w:rFonts w:eastAsia="Arial Unicode MS" w:cs="Tahoma"/>
        </w:rPr>
        <w:t xml:space="preserve"> metalu dengtos izoliacinės plokštės. Gamykliniai gaminiai. Techniniai reikalavimai“;</w:t>
      </w:r>
    </w:p>
    <w:p w14:paraId="47E6FD0C" w14:textId="77777777" w:rsidR="007E1642" w:rsidRDefault="00A17B39">
      <w:pPr>
        <w:widowControl w:val="0"/>
        <w:suppressAutoHyphens/>
        <w:ind w:firstLine="567"/>
        <w:jc w:val="both"/>
        <w:rPr>
          <w:rFonts w:eastAsia="Arial Unicode MS"/>
        </w:rPr>
      </w:pPr>
      <w:r>
        <w:rPr>
          <w:rFonts w:eastAsia="Arial Unicode MS" w:cs="Tahoma"/>
        </w:rPr>
        <w:t>7.16</w:t>
      </w:r>
      <w:r>
        <w:rPr>
          <w:rFonts w:eastAsia="Arial Unicode MS" w:cs="Tahoma"/>
        </w:rPr>
        <w:t>. ETAG 016 Europos techninių liudijimų rengimo vadovas „Save laikančios lengvosios kompozicinės plokštės“ (</w:t>
      </w:r>
      <w:proofErr w:type="spellStart"/>
      <w:r>
        <w:rPr>
          <w:rFonts w:eastAsia="Arial Unicode MS" w:cs="Tahoma"/>
          <w:bCs/>
        </w:rPr>
        <w:t>www.eota.be</w:t>
      </w:r>
      <w:proofErr w:type="spellEnd"/>
      <w:r>
        <w:rPr>
          <w:rFonts w:eastAsia="Arial Unicode MS" w:cs="Tahoma"/>
        </w:rPr>
        <w:t>).</w:t>
      </w:r>
    </w:p>
    <w:p w14:paraId="47E6FD0D" w14:textId="77777777" w:rsidR="007E1642" w:rsidRDefault="00A17B39">
      <w:pPr>
        <w:widowControl w:val="0"/>
        <w:suppressAutoHyphens/>
        <w:ind w:firstLine="567"/>
        <w:jc w:val="both"/>
        <w:rPr>
          <w:rFonts w:eastAsia="Arial Unicode MS"/>
        </w:rPr>
      </w:pPr>
    </w:p>
    <w:p w14:paraId="47E6FD0E" w14:textId="77777777" w:rsidR="007E1642" w:rsidRDefault="00A17B39">
      <w:pPr>
        <w:widowControl w:val="0"/>
        <w:suppressAutoHyphens/>
        <w:jc w:val="center"/>
        <w:rPr>
          <w:rFonts w:eastAsia="Arial Unicode MS"/>
          <w:b/>
          <w:caps/>
        </w:rPr>
      </w:pPr>
      <w:r>
        <w:rPr>
          <w:rFonts w:eastAsia="Arial Unicode MS"/>
          <w:b/>
          <w:caps/>
        </w:rPr>
        <w:t>III</w:t>
      </w:r>
      <w:r>
        <w:rPr>
          <w:rFonts w:eastAsia="Arial Unicode MS"/>
          <w:b/>
          <w:caps/>
        </w:rPr>
        <w:t xml:space="preserve">. </w:t>
      </w:r>
      <w:r>
        <w:rPr>
          <w:rFonts w:eastAsia="Arial Unicode MS"/>
          <w:b/>
          <w:caps/>
        </w:rPr>
        <w:t>PAGRINDINĖS sąvokos</w:t>
      </w:r>
    </w:p>
    <w:p w14:paraId="47E6FD0F" w14:textId="77777777" w:rsidR="007E1642" w:rsidRDefault="007E1642">
      <w:pPr>
        <w:widowControl w:val="0"/>
        <w:suppressAutoHyphens/>
        <w:ind w:firstLine="567"/>
        <w:jc w:val="both"/>
        <w:rPr>
          <w:rFonts w:eastAsia="Arial Unicode MS"/>
        </w:rPr>
      </w:pPr>
    </w:p>
    <w:p w14:paraId="47E6FD10" w14:textId="77777777" w:rsidR="007E1642" w:rsidRDefault="00A17B39">
      <w:pPr>
        <w:widowControl w:val="0"/>
        <w:suppressAutoHyphens/>
        <w:ind w:firstLine="567"/>
        <w:jc w:val="both"/>
        <w:rPr>
          <w:rFonts w:eastAsia="Arial Unicode MS"/>
        </w:rPr>
      </w:pPr>
      <w:r>
        <w:rPr>
          <w:rFonts w:eastAsia="Arial Unicode MS"/>
        </w:rPr>
        <w:t>8</w:t>
      </w:r>
      <w:r>
        <w:rPr>
          <w:rFonts w:eastAsia="Arial Unicode MS"/>
        </w:rPr>
        <w:t xml:space="preserve">. </w:t>
      </w:r>
      <w:r>
        <w:rPr>
          <w:rFonts w:eastAsia="Arial Unicode MS" w:cs="Tahoma"/>
        </w:rPr>
        <w:t>Reglamente vartojamos sąvokos suprantamos taip, kaip jos apibrėžtos Statybos įstatyme [7.1]. Kitos Reglamente vartojamos sąvokos:</w:t>
      </w:r>
    </w:p>
    <w:p w14:paraId="47E6FD11" w14:textId="77777777" w:rsidR="007E1642" w:rsidRDefault="00A17B39">
      <w:pPr>
        <w:ind w:firstLine="567"/>
        <w:jc w:val="both"/>
      </w:pPr>
      <w:r>
        <w:rPr>
          <w:bCs/>
        </w:rPr>
        <w:t>8.1</w:t>
      </w:r>
      <w:r>
        <w:rPr>
          <w:bCs/>
        </w:rPr>
        <w:t>.</w:t>
      </w:r>
      <w:r>
        <w:rPr>
          <w:b/>
          <w:bCs/>
        </w:rPr>
        <w:t xml:space="preserve"> išorinė vėdinama termoizoliacinė sistema (</w:t>
      </w:r>
      <w:r>
        <w:rPr>
          <w:bCs/>
        </w:rPr>
        <w:t>toliau –</w:t>
      </w:r>
      <w:r>
        <w:rPr>
          <w:b/>
          <w:bCs/>
        </w:rPr>
        <w:t xml:space="preserve"> Sistema) – </w:t>
      </w:r>
      <w:r>
        <w:t xml:space="preserve">statybvietėje pastato laikančiųjų konstrukcijų išorėje </w:t>
      </w:r>
      <w:r>
        <w:t>įrengiama sienų apšiltinimo ir apdailos sistema, naudojant sistemos gamintojo tiekiamą arba pagal konkretų projektą komplektuojamą gamyklinių statybos produktų rinkinį, kurį sudaro šie komponentai: sistemos karkasas; sistemos mechaninio tvirtinimo elementa</w:t>
      </w:r>
      <w:r>
        <w:t xml:space="preserve">i; termoizoliacinis sluoksnis; vėjo izoliacinis sluoksnis; išorės apdaila. Sistemoms nepriskiriamos </w:t>
      </w:r>
      <w:proofErr w:type="spellStart"/>
      <w:r>
        <w:t>trisluoksnės</w:t>
      </w:r>
      <w:proofErr w:type="spellEnd"/>
      <w:r>
        <w:t xml:space="preserve"> mūro sienos su vėdinamu oro tarpu, konstrukcinio sandariojo įstiklinimo sistemos pagal LST EN 13022-1:2006+A1:2010 [7.13], sienų apdarai pagal </w:t>
      </w:r>
      <w:r>
        <w:t>LST EN 13830</w:t>
      </w:r>
      <w:r>
        <w:rPr>
          <w:iCs/>
        </w:rPr>
        <w:t>:2005</w:t>
      </w:r>
      <w:r>
        <w:t xml:space="preserve"> [7.14], save laikančios dvigubo įstiklinimo sistemos pagal LST EN 14509:2007 [7.15], save laikančios sistemos iš </w:t>
      </w:r>
      <w:proofErr w:type="spellStart"/>
      <w:r>
        <w:t>trisluoksnių</w:t>
      </w:r>
      <w:proofErr w:type="spellEnd"/>
      <w:r>
        <w:t xml:space="preserve"> kompozicinių plokščių pagal ETAG 016 [7.16] ir </w:t>
      </w:r>
      <w:r>
        <w:rPr>
          <w:bCs/>
        </w:rPr>
        <w:t>termoizoliacinės</w:t>
      </w:r>
      <w:r>
        <w:t xml:space="preserve"> sistemos su statybos aikštelėje tinkuojamais išo</w:t>
      </w:r>
      <w:r>
        <w:t xml:space="preserve">riniais apdailos elementais; </w:t>
      </w:r>
    </w:p>
    <w:p w14:paraId="47E6FD12" w14:textId="77777777" w:rsidR="007E1642" w:rsidRDefault="00A17B39">
      <w:pPr>
        <w:ind w:firstLine="567"/>
        <w:jc w:val="both"/>
      </w:pPr>
      <w:r>
        <w:t>8.2</w:t>
      </w:r>
      <w:r>
        <w:t>.</w:t>
      </w:r>
      <w:r>
        <w:rPr>
          <w:b/>
        </w:rPr>
        <w:t xml:space="preserve"> pagrindas</w:t>
      </w:r>
      <w:r>
        <w:t xml:space="preserve"> – išorinė pastato siena, atitinkanti mechaninio stiprumo bei standumo ir oro sandarumo reikalavimus, prie kurios tvirtinama Sistema; </w:t>
      </w:r>
    </w:p>
    <w:p w14:paraId="47E6FD13" w14:textId="77777777" w:rsidR="007E1642" w:rsidRDefault="00A17B39">
      <w:pPr>
        <w:tabs>
          <w:tab w:val="left" w:pos="993"/>
        </w:tabs>
        <w:ind w:firstLine="567"/>
        <w:jc w:val="both"/>
        <w:rPr>
          <w:bCs/>
        </w:rPr>
      </w:pPr>
      <w:r>
        <w:rPr>
          <w:bCs/>
        </w:rPr>
        <w:t>8.3</w:t>
      </w:r>
      <w:r>
        <w:rPr>
          <w:bCs/>
        </w:rPr>
        <w:t>.</w:t>
      </w:r>
      <w:r>
        <w:rPr>
          <w:b/>
          <w:bCs/>
        </w:rPr>
        <w:t xml:space="preserve"> Sistemos karkasas</w:t>
      </w:r>
      <w:r>
        <w:rPr>
          <w:bCs/>
        </w:rPr>
        <w:t xml:space="preserve"> – tarp pagrindo ir apdailos esanti vertikalių </w:t>
      </w:r>
      <w:r>
        <w:rPr>
          <w:bCs/>
        </w:rPr>
        <w:t>ir/arba horizontalių medinių arba metalinių elementų sąranka;</w:t>
      </w:r>
    </w:p>
    <w:p w14:paraId="47E6FD14" w14:textId="77777777" w:rsidR="007E1642" w:rsidRDefault="00A17B39">
      <w:pPr>
        <w:ind w:firstLine="567"/>
        <w:jc w:val="both"/>
        <w:rPr>
          <w:bCs/>
        </w:rPr>
      </w:pPr>
      <w:r>
        <w:rPr>
          <w:bCs/>
        </w:rPr>
        <w:t>8.4</w:t>
      </w:r>
      <w:r>
        <w:rPr>
          <w:bCs/>
        </w:rPr>
        <w:t>.</w:t>
      </w:r>
      <w:r>
        <w:rPr>
          <w:b/>
          <w:bCs/>
        </w:rPr>
        <w:t xml:space="preserve"> termoizoliacinis sluoksnis </w:t>
      </w:r>
      <w:r>
        <w:rPr>
          <w:bCs/>
        </w:rPr>
        <w:t>– vienas arba keli tarp Sistemos karkaso elementų įrengti termoizoliacinės medžiagos sluoksniai, užtikrinantys reikiamą sienos šilumos izoliaciją;</w:t>
      </w:r>
    </w:p>
    <w:p w14:paraId="47E6FD15" w14:textId="77777777" w:rsidR="007E1642" w:rsidRDefault="00A17B39">
      <w:pPr>
        <w:tabs>
          <w:tab w:val="left" w:pos="0"/>
          <w:tab w:val="center" w:pos="567"/>
          <w:tab w:val="right" w:pos="8640"/>
        </w:tabs>
        <w:ind w:firstLine="567"/>
        <w:jc w:val="both"/>
      </w:pPr>
      <w:r>
        <w:t>8.5</w:t>
      </w:r>
      <w:r>
        <w:t>.</w:t>
      </w:r>
      <w:r>
        <w:rPr>
          <w:b/>
        </w:rPr>
        <w:t xml:space="preserve"> </w:t>
      </w:r>
      <w:r>
        <w:rPr>
          <w:b/>
        </w:rPr>
        <w:tab/>
        <w:t>v</w:t>
      </w:r>
      <w:r>
        <w:rPr>
          <w:b/>
        </w:rPr>
        <w:t xml:space="preserve">ėjo izoliacinis sluoksnis – </w:t>
      </w:r>
      <w:r>
        <w:t>ruloniniai arba lakštiniai</w:t>
      </w:r>
      <w:r>
        <w:rPr>
          <w:b/>
        </w:rPr>
        <w:t xml:space="preserve"> </w:t>
      </w:r>
      <w:r>
        <w:t>vėjo izoliaciniai gaminiai, skirti apsaugoti termoizoliacinį sluoksnį nuo judančio oro poveikio;</w:t>
      </w:r>
    </w:p>
    <w:p w14:paraId="47E6FD16" w14:textId="77777777" w:rsidR="007E1642" w:rsidRDefault="00A17B39">
      <w:pPr>
        <w:tabs>
          <w:tab w:val="left" w:pos="993"/>
        </w:tabs>
        <w:ind w:firstLine="567"/>
        <w:jc w:val="both"/>
        <w:rPr>
          <w:bCs/>
        </w:rPr>
      </w:pPr>
      <w:r>
        <w:rPr>
          <w:bCs/>
        </w:rPr>
        <w:t>8.6</w:t>
      </w:r>
      <w:r>
        <w:rPr>
          <w:bCs/>
        </w:rPr>
        <w:t xml:space="preserve">. </w:t>
      </w:r>
      <w:r>
        <w:rPr>
          <w:b/>
          <w:bCs/>
        </w:rPr>
        <w:t>vėdinamas oro tarpas</w:t>
      </w:r>
      <w:r>
        <w:rPr>
          <w:bCs/>
        </w:rPr>
        <w:t xml:space="preserve"> – su išorės aplinkos oru susisiekiantis tarpas tarp apdailos ir vėjo izoli</w:t>
      </w:r>
      <w:r>
        <w:rPr>
          <w:bCs/>
        </w:rPr>
        <w:t>acinio arba termoizoliacinio sluoksnio;</w:t>
      </w:r>
    </w:p>
    <w:p w14:paraId="47E6FD17" w14:textId="77777777" w:rsidR="007E1642" w:rsidRDefault="00A17B39">
      <w:pPr>
        <w:ind w:firstLine="567"/>
        <w:jc w:val="both"/>
      </w:pPr>
      <w:r>
        <w:t>8.7</w:t>
      </w:r>
      <w:r>
        <w:t>.</w:t>
      </w:r>
      <w:r>
        <w:rPr>
          <w:b/>
        </w:rPr>
        <w:t xml:space="preserve"> išorės apdaila – </w:t>
      </w:r>
      <w:r>
        <w:t xml:space="preserve">išorinis sluoksnis iš surenkamų apdailos elementų, apsaugantis sieną nuo atmosferos poveikio ir suteikiantis jai architektūrinę ir estetinę išvaizdą; </w:t>
      </w:r>
    </w:p>
    <w:p w14:paraId="47E6FD18" w14:textId="77777777" w:rsidR="007E1642" w:rsidRDefault="00A17B39">
      <w:pPr>
        <w:ind w:firstLine="567"/>
        <w:jc w:val="both"/>
      </w:pPr>
      <w:r>
        <w:t>8.8</w:t>
      </w:r>
      <w:r>
        <w:t>.</w:t>
      </w:r>
      <w:r>
        <w:rPr>
          <w:b/>
        </w:rPr>
        <w:t xml:space="preserve"> Sistemos mechaninio tvirtinimo</w:t>
      </w:r>
      <w:r>
        <w:rPr>
          <w:b/>
        </w:rPr>
        <w:t xml:space="preserve"> elementai – </w:t>
      </w:r>
      <w:r>
        <w:t>Sistemos elementai, skirti Sistemos karkasui pritvirtinti prie pagrindo; Sistemos elementai, skirti tarpusavyje sujungti ir mechaniškai sutvirtinti Sistemos karkaso elementus; Sistemos elementai, skirti mechaniškai pritvirtinti termoizoliacine</w:t>
      </w:r>
      <w:r>
        <w:t>s ir vėjo izoliacines medžiagas prie pagrindo; Sistemos elementai, skirti apdailos medžiagoms pritvirtinti prie Sistemos karkaso;</w:t>
      </w:r>
    </w:p>
    <w:p w14:paraId="47E6FD19" w14:textId="77777777" w:rsidR="007E1642" w:rsidRDefault="00A17B39">
      <w:pPr>
        <w:ind w:firstLine="567"/>
        <w:jc w:val="both"/>
      </w:pPr>
      <w:r>
        <w:t>8.9</w:t>
      </w:r>
      <w:r>
        <w:t>.</w:t>
      </w:r>
      <w:r>
        <w:rPr>
          <w:b/>
        </w:rPr>
        <w:t xml:space="preserve"> termoizoliacinė tarpinė</w:t>
      </w:r>
      <w:r>
        <w:t xml:space="preserve"> – termoizoliacinės medžiagos detalė tarp Sistemos karkaso elemento ir pagrindo.</w:t>
      </w:r>
    </w:p>
    <w:p w14:paraId="47E6FD1A" w14:textId="77777777" w:rsidR="007E1642" w:rsidRDefault="00A17B39">
      <w:pPr>
        <w:ind w:firstLine="567"/>
        <w:jc w:val="both"/>
        <w:rPr>
          <w:bCs/>
          <w:sz w:val="20"/>
        </w:rPr>
      </w:pPr>
    </w:p>
    <w:p w14:paraId="47E6FD1B" w14:textId="77777777" w:rsidR="007E1642" w:rsidRDefault="00A17B39">
      <w:pPr>
        <w:widowControl w:val="0"/>
        <w:suppressAutoHyphens/>
        <w:jc w:val="center"/>
        <w:rPr>
          <w:rFonts w:eastAsia="Arial Unicode MS"/>
          <w:b/>
        </w:rPr>
      </w:pPr>
      <w:r>
        <w:rPr>
          <w:rFonts w:eastAsia="Arial Unicode MS"/>
          <w:b/>
        </w:rPr>
        <w:t>IV</w:t>
      </w:r>
      <w:r>
        <w:rPr>
          <w:rFonts w:eastAsia="Arial Unicode MS"/>
          <w:b/>
        </w:rPr>
        <w:t xml:space="preserve">. </w:t>
      </w:r>
      <w:r>
        <w:rPr>
          <w:rFonts w:eastAsia="Arial Unicode MS"/>
          <w:b/>
        </w:rPr>
        <w:t>ŽYMENYS IR SUTRUMPINIMAI</w:t>
      </w:r>
    </w:p>
    <w:p w14:paraId="47E6FD1C" w14:textId="77777777" w:rsidR="007E1642" w:rsidRDefault="007E1642">
      <w:pPr>
        <w:widowControl w:val="0"/>
        <w:suppressAutoHyphens/>
        <w:ind w:firstLine="567"/>
        <w:jc w:val="both"/>
        <w:rPr>
          <w:rFonts w:eastAsia="Arial Unicode MS"/>
          <w:b/>
        </w:rPr>
      </w:pPr>
    </w:p>
    <w:p w14:paraId="47E6FD1D" w14:textId="77777777" w:rsidR="007E1642" w:rsidRDefault="00A17B39">
      <w:pPr>
        <w:widowControl w:val="0"/>
        <w:suppressAutoHyphens/>
        <w:ind w:firstLine="567"/>
        <w:jc w:val="both"/>
        <w:rPr>
          <w:rFonts w:eastAsia="Arial Unicode MS"/>
        </w:rPr>
      </w:pPr>
      <w:r>
        <w:rPr>
          <w:rFonts w:eastAsia="Arial Unicode MS"/>
        </w:rPr>
        <w:t>9</w:t>
      </w:r>
      <w:r>
        <w:rPr>
          <w:rFonts w:eastAsia="Arial Unicode MS"/>
        </w:rPr>
        <w:t>. Reglamente vartojami šie sutrumpinimai:</w:t>
      </w:r>
    </w:p>
    <w:p w14:paraId="47E6FD1E" w14:textId="77777777" w:rsidR="007E1642" w:rsidRDefault="00A17B39">
      <w:pPr>
        <w:widowControl w:val="0"/>
        <w:suppressAutoHyphens/>
        <w:ind w:firstLine="567"/>
        <w:jc w:val="both"/>
        <w:rPr>
          <w:rFonts w:eastAsia="Arial Unicode MS"/>
        </w:rPr>
      </w:pPr>
      <w:r>
        <w:rPr>
          <w:rFonts w:eastAsia="Arial Unicode MS"/>
        </w:rPr>
        <w:t>9.1</w:t>
      </w:r>
      <w:r>
        <w:rPr>
          <w:rFonts w:eastAsia="Arial Unicode MS"/>
        </w:rPr>
        <w:t>. Europos techninis liudijimas – ETL;</w:t>
      </w:r>
    </w:p>
    <w:p w14:paraId="47E6FD1F" w14:textId="77777777" w:rsidR="007E1642" w:rsidRDefault="00A17B39">
      <w:pPr>
        <w:widowControl w:val="0"/>
        <w:suppressAutoHyphens/>
        <w:ind w:firstLine="567"/>
        <w:jc w:val="both"/>
        <w:rPr>
          <w:rFonts w:eastAsia="Arial Unicode MS"/>
        </w:rPr>
      </w:pPr>
      <w:r>
        <w:rPr>
          <w:rFonts w:eastAsia="Arial Unicode MS"/>
        </w:rPr>
        <w:t>9.2</w:t>
      </w:r>
      <w:r>
        <w:rPr>
          <w:rFonts w:eastAsia="Arial Unicode MS"/>
        </w:rPr>
        <w:t>. Europos techninių liudijimų rengimo vadovas – ETAG.</w:t>
      </w:r>
    </w:p>
    <w:p w14:paraId="47E6FD20" w14:textId="77777777" w:rsidR="007E1642" w:rsidRDefault="00A17B39">
      <w:pPr>
        <w:widowControl w:val="0"/>
        <w:suppressAutoHyphens/>
        <w:ind w:firstLine="567"/>
        <w:jc w:val="both"/>
        <w:rPr>
          <w:rFonts w:eastAsia="Arial Unicode MS"/>
        </w:rPr>
      </w:pPr>
      <w:r>
        <w:rPr>
          <w:rFonts w:eastAsia="Arial Unicode MS"/>
        </w:rPr>
        <w:t>10</w:t>
      </w:r>
      <w:r>
        <w:rPr>
          <w:rFonts w:eastAsia="Arial Unicode MS"/>
        </w:rPr>
        <w:t>. Reglamente vartojami dydžiai, jų simboliai ir vienetai:</w:t>
      </w:r>
    </w:p>
    <w:p w14:paraId="47E6FD21" w14:textId="77777777" w:rsidR="007E1642" w:rsidRDefault="007E1642">
      <w:pPr>
        <w:widowControl w:val="0"/>
        <w:suppressAutoHyphens/>
        <w:ind w:firstLine="567"/>
        <w:jc w:val="both"/>
        <w:rPr>
          <w:rFonts w:eastAsia="Arial Unicode M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6596"/>
        <w:gridCol w:w="1400"/>
      </w:tblGrid>
      <w:tr w:rsidR="007E1642" w14:paraId="47E6FD25" w14:textId="77777777">
        <w:trPr>
          <w:cantSplit/>
          <w:trHeight w:val="20"/>
        </w:trPr>
        <w:tc>
          <w:tcPr>
            <w:tcW w:w="1101" w:type="dxa"/>
            <w:vAlign w:val="center"/>
          </w:tcPr>
          <w:p w14:paraId="47E6FD22" w14:textId="77777777" w:rsidR="007E1642" w:rsidRDefault="00A17B39">
            <w:pPr>
              <w:ind w:right="34"/>
              <w:jc w:val="center"/>
              <w:rPr>
                <w:spacing w:val="-8"/>
              </w:rPr>
            </w:pPr>
            <w:r>
              <w:rPr>
                <w:spacing w:val="-8"/>
              </w:rPr>
              <w:t>Simbolis</w:t>
            </w:r>
          </w:p>
        </w:tc>
        <w:tc>
          <w:tcPr>
            <w:tcW w:w="6804" w:type="dxa"/>
            <w:vAlign w:val="center"/>
          </w:tcPr>
          <w:p w14:paraId="47E6FD23" w14:textId="77777777" w:rsidR="007E1642" w:rsidRDefault="00A17B39">
            <w:pPr>
              <w:ind w:right="34"/>
              <w:jc w:val="center"/>
            </w:pPr>
            <w:r>
              <w:t>Dyd</w:t>
            </w:r>
            <w:r>
              <w:t>is</w:t>
            </w:r>
          </w:p>
        </w:tc>
        <w:tc>
          <w:tcPr>
            <w:tcW w:w="1438" w:type="dxa"/>
            <w:vAlign w:val="center"/>
          </w:tcPr>
          <w:p w14:paraId="47E6FD24" w14:textId="77777777" w:rsidR="007E1642" w:rsidRDefault="00A17B39">
            <w:pPr>
              <w:ind w:right="34"/>
              <w:jc w:val="center"/>
            </w:pPr>
            <w:r>
              <w:t xml:space="preserve">Vienetai </w:t>
            </w:r>
          </w:p>
        </w:tc>
      </w:tr>
      <w:tr w:rsidR="007E1642" w14:paraId="47E6FD29" w14:textId="77777777">
        <w:trPr>
          <w:cantSplit/>
          <w:trHeight w:val="20"/>
        </w:trPr>
        <w:tc>
          <w:tcPr>
            <w:tcW w:w="1101" w:type="dxa"/>
          </w:tcPr>
          <w:p w14:paraId="47E6FD26" w14:textId="77777777" w:rsidR="007E1642" w:rsidRDefault="00A17B39">
            <w:pPr>
              <w:ind w:right="34"/>
              <w:jc w:val="center"/>
              <w:rPr>
                <w:i/>
                <w:caps/>
              </w:rPr>
            </w:pPr>
            <w:proofErr w:type="spellStart"/>
            <w:r>
              <w:rPr>
                <w:i/>
              </w:rPr>
              <w:t>R</w:t>
            </w:r>
            <w:r>
              <w:rPr>
                <w:i/>
                <w:vertAlign w:val="subscript"/>
              </w:rPr>
              <w:t>d</w:t>
            </w:r>
            <w:proofErr w:type="spellEnd"/>
          </w:p>
        </w:tc>
        <w:tc>
          <w:tcPr>
            <w:tcW w:w="6804" w:type="dxa"/>
          </w:tcPr>
          <w:p w14:paraId="47E6FD27" w14:textId="77777777" w:rsidR="007E1642" w:rsidRDefault="00A17B39">
            <w:pPr>
              <w:ind w:right="34"/>
            </w:pPr>
            <w:r>
              <w:t>Sistemos atplėšimo nuo pagrindo stipris</w:t>
            </w:r>
          </w:p>
        </w:tc>
        <w:tc>
          <w:tcPr>
            <w:tcW w:w="1438" w:type="dxa"/>
          </w:tcPr>
          <w:p w14:paraId="47E6FD28" w14:textId="77777777" w:rsidR="007E1642" w:rsidRDefault="00A17B39">
            <w:pPr>
              <w:ind w:right="34"/>
              <w:jc w:val="center"/>
            </w:pPr>
            <w:proofErr w:type="spellStart"/>
            <w:r>
              <w:t>kPa</w:t>
            </w:r>
            <w:proofErr w:type="spellEnd"/>
          </w:p>
        </w:tc>
      </w:tr>
      <w:tr w:rsidR="007E1642" w14:paraId="47E6FD2D" w14:textId="77777777">
        <w:trPr>
          <w:cantSplit/>
          <w:trHeight w:val="20"/>
        </w:trPr>
        <w:tc>
          <w:tcPr>
            <w:tcW w:w="1101" w:type="dxa"/>
          </w:tcPr>
          <w:p w14:paraId="47E6FD2A" w14:textId="77777777" w:rsidR="007E1642" w:rsidRDefault="00A17B39">
            <w:pPr>
              <w:ind w:right="34"/>
              <w:jc w:val="center"/>
              <w:rPr>
                <w:i/>
              </w:rPr>
            </w:pPr>
            <w:proofErr w:type="spellStart"/>
            <w:r>
              <w:rPr>
                <w:i/>
              </w:rPr>
              <w:t>S</w:t>
            </w:r>
            <w:r>
              <w:rPr>
                <w:i/>
                <w:vertAlign w:val="subscript"/>
              </w:rPr>
              <w:t>d</w:t>
            </w:r>
            <w:proofErr w:type="spellEnd"/>
          </w:p>
        </w:tc>
        <w:tc>
          <w:tcPr>
            <w:tcW w:w="6804" w:type="dxa"/>
          </w:tcPr>
          <w:p w14:paraId="47E6FD2B" w14:textId="77777777" w:rsidR="007E1642" w:rsidRDefault="00A17B39">
            <w:pPr>
              <w:ind w:right="34"/>
            </w:pPr>
            <w:r>
              <w:t>projektinė vėjo apkrova</w:t>
            </w:r>
          </w:p>
        </w:tc>
        <w:tc>
          <w:tcPr>
            <w:tcW w:w="1438" w:type="dxa"/>
          </w:tcPr>
          <w:p w14:paraId="47E6FD2C" w14:textId="77777777" w:rsidR="007E1642" w:rsidRDefault="00A17B39">
            <w:pPr>
              <w:ind w:right="34"/>
              <w:jc w:val="center"/>
            </w:pPr>
            <w:proofErr w:type="spellStart"/>
            <w:r>
              <w:t>kPa</w:t>
            </w:r>
            <w:proofErr w:type="spellEnd"/>
          </w:p>
        </w:tc>
      </w:tr>
      <w:tr w:rsidR="007E1642" w14:paraId="47E6FD31" w14:textId="77777777">
        <w:trPr>
          <w:cantSplit/>
          <w:trHeight w:val="20"/>
        </w:trPr>
        <w:tc>
          <w:tcPr>
            <w:tcW w:w="1101" w:type="dxa"/>
          </w:tcPr>
          <w:p w14:paraId="47E6FD2E" w14:textId="77777777" w:rsidR="007E1642" w:rsidRDefault="00A17B39">
            <w:pPr>
              <w:ind w:right="34"/>
              <w:jc w:val="center"/>
              <w:rPr>
                <w:i/>
                <w:vertAlign w:val="subscript"/>
              </w:rPr>
            </w:pPr>
            <w:proofErr w:type="spellStart"/>
            <w:r>
              <w:rPr>
                <w:i/>
              </w:rPr>
              <w:t>N</w:t>
            </w:r>
            <w:r>
              <w:rPr>
                <w:i/>
                <w:vertAlign w:val="subscript"/>
              </w:rPr>
              <w:t>Rt</w:t>
            </w:r>
            <w:proofErr w:type="spellEnd"/>
          </w:p>
        </w:tc>
        <w:tc>
          <w:tcPr>
            <w:tcW w:w="6804" w:type="dxa"/>
          </w:tcPr>
          <w:p w14:paraId="47E6FD2F" w14:textId="77777777" w:rsidR="007E1642" w:rsidRDefault="00A17B39">
            <w:pPr>
              <w:ind w:right="34"/>
            </w:pPr>
            <w:r>
              <w:t>Sistemos tvirtinimo prie pagrindo elemento ištraukimo iš pagrindo jėga</w:t>
            </w:r>
          </w:p>
        </w:tc>
        <w:tc>
          <w:tcPr>
            <w:tcW w:w="1438" w:type="dxa"/>
          </w:tcPr>
          <w:p w14:paraId="47E6FD30" w14:textId="77777777" w:rsidR="007E1642" w:rsidRDefault="00A17B39">
            <w:pPr>
              <w:ind w:right="34"/>
              <w:jc w:val="center"/>
            </w:pPr>
            <w:proofErr w:type="spellStart"/>
            <w:r>
              <w:t>kN</w:t>
            </w:r>
            <w:proofErr w:type="spellEnd"/>
          </w:p>
        </w:tc>
      </w:tr>
      <w:tr w:rsidR="007E1642" w14:paraId="47E6FD35" w14:textId="77777777">
        <w:trPr>
          <w:cantSplit/>
          <w:trHeight w:val="20"/>
        </w:trPr>
        <w:tc>
          <w:tcPr>
            <w:tcW w:w="1101" w:type="dxa"/>
          </w:tcPr>
          <w:p w14:paraId="47E6FD32" w14:textId="77777777" w:rsidR="007E1642" w:rsidRDefault="00A17B39">
            <w:pPr>
              <w:ind w:right="34"/>
              <w:jc w:val="center"/>
              <w:rPr>
                <w:i/>
              </w:rPr>
            </w:pPr>
            <w:proofErr w:type="spellStart"/>
            <w:r>
              <w:rPr>
                <w:i/>
              </w:rPr>
              <w:t>N</w:t>
            </w:r>
            <w:r>
              <w:rPr>
                <w:i/>
                <w:vertAlign w:val="subscript"/>
              </w:rPr>
              <w:t>t</w:t>
            </w:r>
            <w:proofErr w:type="spellEnd"/>
          </w:p>
        </w:tc>
        <w:tc>
          <w:tcPr>
            <w:tcW w:w="6804" w:type="dxa"/>
          </w:tcPr>
          <w:p w14:paraId="47E6FD33" w14:textId="77777777" w:rsidR="007E1642" w:rsidRDefault="00A17B39">
            <w:pPr>
              <w:ind w:right="34"/>
            </w:pPr>
            <w:r>
              <w:t>elemento nutraukimo jėga</w:t>
            </w:r>
          </w:p>
        </w:tc>
        <w:tc>
          <w:tcPr>
            <w:tcW w:w="1438" w:type="dxa"/>
          </w:tcPr>
          <w:p w14:paraId="47E6FD34" w14:textId="77777777" w:rsidR="007E1642" w:rsidRDefault="00A17B39">
            <w:pPr>
              <w:ind w:right="34"/>
              <w:jc w:val="center"/>
            </w:pPr>
            <w:proofErr w:type="spellStart"/>
            <w:r>
              <w:t>kN</w:t>
            </w:r>
            <w:proofErr w:type="spellEnd"/>
          </w:p>
        </w:tc>
      </w:tr>
      <w:tr w:rsidR="007E1642" w14:paraId="47E6FD39" w14:textId="77777777">
        <w:trPr>
          <w:cantSplit/>
          <w:trHeight w:val="20"/>
        </w:trPr>
        <w:tc>
          <w:tcPr>
            <w:tcW w:w="1101" w:type="dxa"/>
          </w:tcPr>
          <w:p w14:paraId="47E6FD36" w14:textId="77777777" w:rsidR="007E1642" w:rsidRDefault="00A17B39">
            <w:pPr>
              <w:ind w:right="34"/>
              <w:jc w:val="center"/>
              <w:rPr>
                <w:i/>
                <w:vertAlign w:val="subscript"/>
              </w:rPr>
            </w:pPr>
            <w:proofErr w:type="spellStart"/>
            <w:r>
              <w:rPr>
                <w:i/>
              </w:rPr>
              <w:t>n</w:t>
            </w:r>
            <w:r>
              <w:rPr>
                <w:i/>
                <w:vertAlign w:val="subscript"/>
              </w:rPr>
              <w:t>t</w:t>
            </w:r>
            <w:proofErr w:type="spellEnd"/>
          </w:p>
        </w:tc>
        <w:tc>
          <w:tcPr>
            <w:tcW w:w="6804" w:type="dxa"/>
          </w:tcPr>
          <w:p w14:paraId="47E6FD37" w14:textId="77777777" w:rsidR="007E1642" w:rsidRDefault="00A17B39">
            <w:pPr>
              <w:ind w:right="34"/>
            </w:pPr>
            <w:r>
              <w:t xml:space="preserve">Sistemos tvirtinimo prie pagrindo elementų </w:t>
            </w:r>
            <w:r>
              <w:t>kiekis</w:t>
            </w:r>
          </w:p>
        </w:tc>
        <w:tc>
          <w:tcPr>
            <w:tcW w:w="1438" w:type="dxa"/>
          </w:tcPr>
          <w:p w14:paraId="47E6FD38" w14:textId="77777777" w:rsidR="007E1642" w:rsidRDefault="00A17B39">
            <w:pPr>
              <w:ind w:right="34"/>
              <w:jc w:val="center"/>
            </w:pPr>
            <w:r>
              <w:t>vnt./m</w:t>
            </w:r>
            <w:r>
              <w:rPr>
                <w:vertAlign w:val="superscript"/>
              </w:rPr>
              <w:t>2</w:t>
            </w:r>
          </w:p>
        </w:tc>
      </w:tr>
      <w:tr w:rsidR="007E1642" w14:paraId="47E6FD3D" w14:textId="77777777">
        <w:trPr>
          <w:cantSplit/>
          <w:trHeight w:val="20"/>
          <w:hidden/>
        </w:trPr>
        <w:tc>
          <w:tcPr>
            <w:tcW w:w="1101" w:type="dxa"/>
          </w:tcPr>
          <w:p w14:paraId="47E6FD3A" w14:textId="77777777" w:rsidR="007E1642" w:rsidRDefault="00A17B39">
            <w:pPr>
              <w:ind w:right="34"/>
              <w:jc w:val="center"/>
              <w:rPr>
                <w:i/>
              </w:rPr>
            </w:pPr>
            <w:r>
              <w:rPr>
                <w:vanish/>
              </w:rPr>
              <w:t>gama</w:t>
            </w:r>
            <w:r>
              <w:sym w:font="Symbol" w:char="F067"/>
            </w:r>
          </w:p>
        </w:tc>
        <w:tc>
          <w:tcPr>
            <w:tcW w:w="6804" w:type="dxa"/>
          </w:tcPr>
          <w:p w14:paraId="47E6FD3B" w14:textId="77777777" w:rsidR="007E1642" w:rsidRDefault="00A17B39">
            <w:pPr>
              <w:ind w:right="34"/>
            </w:pPr>
            <w:r>
              <w:t>atsargos koeficientas</w:t>
            </w:r>
          </w:p>
        </w:tc>
        <w:tc>
          <w:tcPr>
            <w:tcW w:w="1438" w:type="dxa"/>
          </w:tcPr>
          <w:p w14:paraId="47E6FD3C" w14:textId="77777777" w:rsidR="007E1642" w:rsidRDefault="00A17B39">
            <w:pPr>
              <w:ind w:right="34"/>
              <w:jc w:val="center"/>
            </w:pPr>
            <w:r>
              <w:t>-</w:t>
            </w:r>
          </w:p>
        </w:tc>
      </w:tr>
      <w:tr w:rsidR="007E1642" w14:paraId="47E6FD41" w14:textId="77777777">
        <w:trPr>
          <w:cantSplit/>
          <w:trHeight w:val="20"/>
        </w:trPr>
        <w:tc>
          <w:tcPr>
            <w:tcW w:w="1101" w:type="dxa"/>
          </w:tcPr>
          <w:p w14:paraId="47E6FD3E" w14:textId="77777777" w:rsidR="007E1642" w:rsidRDefault="00A17B39">
            <w:pPr>
              <w:ind w:right="34"/>
              <w:jc w:val="center"/>
              <w:rPr>
                <w:i/>
              </w:rPr>
            </w:pPr>
            <w:r>
              <w:rPr>
                <w:i/>
              </w:rPr>
              <w:t>L</w:t>
            </w:r>
          </w:p>
        </w:tc>
        <w:tc>
          <w:tcPr>
            <w:tcW w:w="6804" w:type="dxa"/>
          </w:tcPr>
          <w:p w14:paraId="47E6FD3F" w14:textId="77777777" w:rsidR="007E1642" w:rsidRDefault="00A17B39">
            <w:pPr>
              <w:ind w:right="34"/>
            </w:pPr>
            <w:r>
              <w:t>atstumas tarp gretimų horizontalaus profilio pritvirtinimo prie pagrindo taškų</w:t>
            </w:r>
          </w:p>
        </w:tc>
        <w:tc>
          <w:tcPr>
            <w:tcW w:w="1438" w:type="dxa"/>
          </w:tcPr>
          <w:p w14:paraId="47E6FD40" w14:textId="77777777" w:rsidR="007E1642" w:rsidRDefault="00A17B39">
            <w:pPr>
              <w:ind w:right="34"/>
              <w:jc w:val="center"/>
            </w:pPr>
            <w:r>
              <w:t>m</w:t>
            </w:r>
          </w:p>
        </w:tc>
      </w:tr>
      <w:tr w:rsidR="007E1642" w14:paraId="47E6FD45" w14:textId="77777777">
        <w:trPr>
          <w:cantSplit/>
          <w:trHeight w:val="20"/>
        </w:trPr>
        <w:tc>
          <w:tcPr>
            <w:tcW w:w="1101" w:type="dxa"/>
          </w:tcPr>
          <w:p w14:paraId="47E6FD42" w14:textId="77777777" w:rsidR="007E1642" w:rsidRDefault="00A17B39">
            <w:pPr>
              <w:ind w:right="34"/>
              <w:jc w:val="center"/>
              <w:rPr>
                <w:i/>
              </w:rPr>
            </w:pPr>
            <w:proofErr w:type="spellStart"/>
            <w:r>
              <w:rPr>
                <w:i/>
              </w:rPr>
              <w:t>q</w:t>
            </w:r>
            <w:r>
              <w:rPr>
                <w:vertAlign w:val="subscript"/>
              </w:rPr>
              <w:t>ref</w:t>
            </w:r>
            <w:proofErr w:type="spellEnd"/>
          </w:p>
        </w:tc>
        <w:tc>
          <w:tcPr>
            <w:tcW w:w="6804" w:type="dxa"/>
          </w:tcPr>
          <w:p w14:paraId="47E6FD43" w14:textId="77777777" w:rsidR="007E1642" w:rsidRDefault="00A17B39">
            <w:pPr>
              <w:ind w:right="34"/>
            </w:pPr>
            <w:r>
              <w:t>atskaitinis vėjo slėgis</w:t>
            </w:r>
          </w:p>
        </w:tc>
        <w:tc>
          <w:tcPr>
            <w:tcW w:w="1438" w:type="dxa"/>
          </w:tcPr>
          <w:p w14:paraId="47E6FD44" w14:textId="77777777" w:rsidR="007E1642" w:rsidRDefault="00A17B39">
            <w:pPr>
              <w:ind w:right="34"/>
              <w:jc w:val="center"/>
            </w:pPr>
            <w:proofErr w:type="spellStart"/>
            <w:r>
              <w:t>kPa</w:t>
            </w:r>
            <w:proofErr w:type="spellEnd"/>
          </w:p>
        </w:tc>
      </w:tr>
      <w:tr w:rsidR="007E1642" w14:paraId="47E6FD49" w14:textId="77777777">
        <w:trPr>
          <w:cantSplit/>
          <w:trHeight w:val="20"/>
        </w:trPr>
        <w:tc>
          <w:tcPr>
            <w:tcW w:w="1101" w:type="dxa"/>
          </w:tcPr>
          <w:p w14:paraId="47E6FD46" w14:textId="77777777" w:rsidR="007E1642" w:rsidRDefault="00A17B39">
            <w:pPr>
              <w:ind w:right="34"/>
              <w:jc w:val="center"/>
              <w:rPr>
                <w:i/>
              </w:rPr>
            </w:pPr>
            <w:proofErr w:type="spellStart"/>
            <w:r>
              <w:rPr>
                <w:i/>
              </w:rPr>
              <w:t>c</w:t>
            </w:r>
            <w:r>
              <w:rPr>
                <w:vertAlign w:val="subscript"/>
              </w:rPr>
              <w:t>e</w:t>
            </w:r>
            <w:proofErr w:type="spellEnd"/>
          </w:p>
        </w:tc>
        <w:tc>
          <w:tcPr>
            <w:tcW w:w="6804" w:type="dxa"/>
          </w:tcPr>
          <w:p w14:paraId="47E6FD47" w14:textId="77777777" w:rsidR="007E1642" w:rsidRDefault="00A17B39">
            <w:pPr>
              <w:ind w:right="34"/>
            </w:pPr>
            <w:r>
              <w:t>pavėjinis išorinio slėgio aerodinaminis koeficientas</w:t>
            </w:r>
          </w:p>
        </w:tc>
        <w:tc>
          <w:tcPr>
            <w:tcW w:w="1438" w:type="dxa"/>
          </w:tcPr>
          <w:p w14:paraId="47E6FD48" w14:textId="77777777" w:rsidR="007E1642" w:rsidRDefault="00A17B39">
            <w:pPr>
              <w:ind w:right="34"/>
              <w:jc w:val="center"/>
            </w:pPr>
            <w:r>
              <w:t>-</w:t>
            </w:r>
          </w:p>
        </w:tc>
      </w:tr>
      <w:tr w:rsidR="007E1642" w14:paraId="47E6FD4D" w14:textId="77777777">
        <w:trPr>
          <w:cantSplit/>
          <w:trHeight w:val="20"/>
        </w:trPr>
        <w:tc>
          <w:tcPr>
            <w:tcW w:w="1101" w:type="dxa"/>
          </w:tcPr>
          <w:p w14:paraId="47E6FD4A" w14:textId="77777777" w:rsidR="007E1642" w:rsidRDefault="00A17B39">
            <w:pPr>
              <w:ind w:right="34"/>
              <w:jc w:val="center"/>
              <w:rPr>
                <w:i/>
              </w:rPr>
            </w:pPr>
            <w:proofErr w:type="spellStart"/>
            <w:r>
              <w:rPr>
                <w:i/>
              </w:rPr>
              <w:t>c</w:t>
            </w:r>
            <w:r>
              <w:t>(</w:t>
            </w:r>
            <w:r>
              <w:rPr>
                <w:i/>
              </w:rPr>
              <w:t>z</w:t>
            </w:r>
            <w:proofErr w:type="spellEnd"/>
            <w:r>
              <w:t>)</w:t>
            </w:r>
          </w:p>
        </w:tc>
        <w:tc>
          <w:tcPr>
            <w:tcW w:w="6804" w:type="dxa"/>
          </w:tcPr>
          <w:p w14:paraId="47E6FD4B" w14:textId="77777777" w:rsidR="007E1642" w:rsidRDefault="00A17B39">
            <w:pPr>
              <w:ind w:right="34"/>
            </w:pPr>
            <w:r>
              <w:t xml:space="preserve">koeficientas, įvertinantis </w:t>
            </w:r>
            <w:r>
              <w:t>vietovės reljefo tipą ir aukštį nuo žemės paviršiaus</w:t>
            </w:r>
          </w:p>
        </w:tc>
        <w:tc>
          <w:tcPr>
            <w:tcW w:w="1438" w:type="dxa"/>
          </w:tcPr>
          <w:p w14:paraId="47E6FD4C" w14:textId="77777777" w:rsidR="007E1642" w:rsidRDefault="00A17B39">
            <w:pPr>
              <w:ind w:right="34"/>
              <w:jc w:val="center"/>
            </w:pPr>
            <w:r>
              <w:t>-</w:t>
            </w:r>
          </w:p>
        </w:tc>
      </w:tr>
      <w:tr w:rsidR="007E1642" w14:paraId="47E6FD51" w14:textId="77777777">
        <w:trPr>
          <w:cantSplit/>
          <w:trHeight w:val="20"/>
          <w:hidden/>
        </w:trPr>
        <w:tc>
          <w:tcPr>
            <w:tcW w:w="1101" w:type="dxa"/>
          </w:tcPr>
          <w:p w14:paraId="47E6FD4E" w14:textId="77777777" w:rsidR="007E1642" w:rsidRDefault="00A17B39">
            <w:pPr>
              <w:ind w:right="34"/>
              <w:jc w:val="center"/>
              <w:rPr>
                <w:i/>
              </w:rPr>
            </w:pPr>
            <w:r>
              <w:rPr>
                <w:vanish/>
              </w:rPr>
              <w:t>gama</w:t>
            </w:r>
            <w:r>
              <w:sym w:font="Symbol" w:char="F067"/>
            </w:r>
            <w:r>
              <w:rPr>
                <w:vertAlign w:val="subscript"/>
              </w:rPr>
              <w:t>Q</w:t>
            </w:r>
          </w:p>
        </w:tc>
        <w:tc>
          <w:tcPr>
            <w:tcW w:w="6804" w:type="dxa"/>
          </w:tcPr>
          <w:p w14:paraId="47E6FD4F" w14:textId="77777777" w:rsidR="007E1642" w:rsidRDefault="00A17B39">
            <w:pPr>
              <w:ind w:right="34"/>
            </w:pPr>
            <w:r>
              <w:t>vėjo poveikio dalinis patikimumo koeficientas</w:t>
            </w:r>
          </w:p>
        </w:tc>
        <w:tc>
          <w:tcPr>
            <w:tcW w:w="1438" w:type="dxa"/>
          </w:tcPr>
          <w:p w14:paraId="47E6FD50" w14:textId="77777777" w:rsidR="007E1642" w:rsidRDefault="00A17B39">
            <w:pPr>
              <w:ind w:right="34"/>
              <w:jc w:val="center"/>
            </w:pPr>
            <w:r>
              <w:t>-</w:t>
            </w:r>
          </w:p>
        </w:tc>
      </w:tr>
      <w:tr w:rsidR="007E1642" w14:paraId="47E6FD55" w14:textId="77777777">
        <w:trPr>
          <w:cantSplit/>
          <w:trHeight w:val="20"/>
          <w:hidden/>
        </w:trPr>
        <w:tc>
          <w:tcPr>
            <w:tcW w:w="1101" w:type="dxa"/>
          </w:tcPr>
          <w:p w14:paraId="47E6FD52" w14:textId="77777777" w:rsidR="007E1642" w:rsidRDefault="00A17B39">
            <w:pPr>
              <w:ind w:right="34"/>
              <w:jc w:val="center"/>
            </w:pPr>
            <w:proofErr w:type="spellStart"/>
            <w:r>
              <w:rPr>
                <w:vanish/>
              </w:rPr>
              <w:t>rho</w:t>
            </w:r>
            <w:proofErr w:type="spellEnd"/>
            <w:r>
              <w:t>?</w:t>
            </w:r>
          </w:p>
        </w:tc>
        <w:tc>
          <w:tcPr>
            <w:tcW w:w="6804" w:type="dxa"/>
          </w:tcPr>
          <w:p w14:paraId="47E6FD53" w14:textId="77777777" w:rsidR="007E1642" w:rsidRDefault="00A17B39">
            <w:pPr>
              <w:ind w:right="34"/>
            </w:pPr>
            <w:r>
              <w:t>oro tankis</w:t>
            </w:r>
          </w:p>
        </w:tc>
        <w:tc>
          <w:tcPr>
            <w:tcW w:w="1438" w:type="dxa"/>
          </w:tcPr>
          <w:p w14:paraId="47E6FD54" w14:textId="77777777" w:rsidR="007E1642" w:rsidRDefault="00A17B39">
            <w:pPr>
              <w:ind w:right="34"/>
              <w:jc w:val="center"/>
            </w:pPr>
            <w:r>
              <w:t>kg/m</w:t>
            </w:r>
            <w:r>
              <w:rPr>
                <w:vertAlign w:val="superscript"/>
              </w:rPr>
              <w:t>3</w:t>
            </w:r>
          </w:p>
        </w:tc>
      </w:tr>
      <w:tr w:rsidR="007E1642" w14:paraId="47E6FD59" w14:textId="77777777">
        <w:trPr>
          <w:cantSplit/>
          <w:trHeight w:val="20"/>
        </w:trPr>
        <w:tc>
          <w:tcPr>
            <w:tcW w:w="1101" w:type="dxa"/>
          </w:tcPr>
          <w:p w14:paraId="47E6FD56" w14:textId="77777777" w:rsidR="007E1642" w:rsidRDefault="00A17B39">
            <w:pPr>
              <w:ind w:right="34"/>
              <w:jc w:val="center"/>
              <w:rPr>
                <w:i/>
              </w:rPr>
            </w:pPr>
            <w:proofErr w:type="spellStart"/>
            <w:r>
              <w:rPr>
                <w:i/>
              </w:rPr>
              <w:t>v</w:t>
            </w:r>
            <w:r>
              <w:rPr>
                <w:vertAlign w:val="subscript"/>
              </w:rPr>
              <w:t>ref</w:t>
            </w:r>
            <w:proofErr w:type="spellEnd"/>
          </w:p>
        </w:tc>
        <w:tc>
          <w:tcPr>
            <w:tcW w:w="6804" w:type="dxa"/>
          </w:tcPr>
          <w:p w14:paraId="47E6FD57" w14:textId="77777777" w:rsidR="007E1642" w:rsidRDefault="00A17B39">
            <w:pPr>
              <w:ind w:right="34"/>
            </w:pPr>
            <w:r>
              <w:t>atskaitinis vėjo greitis</w:t>
            </w:r>
          </w:p>
        </w:tc>
        <w:tc>
          <w:tcPr>
            <w:tcW w:w="1438" w:type="dxa"/>
          </w:tcPr>
          <w:p w14:paraId="47E6FD58" w14:textId="77777777" w:rsidR="007E1642" w:rsidRDefault="00A17B39">
            <w:pPr>
              <w:ind w:right="34"/>
              <w:jc w:val="center"/>
            </w:pPr>
            <w:r>
              <w:t>m/s</w:t>
            </w:r>
          </w:p>
        </w:tc>
      </w:tr>
      <w:tr w:rsidR="007E1642" w14:paraId="47E6FD5D" w14:textId="77777777">
        <w:trPr>
          <w:cantSplit/>
          <w:trHeight w:val="20"/>
        </w:trPr>
        <w:tc>
          <w:tcPr>
            <w:tcW w:w="1101" w:type="dxa"/>
          </w:tcPr>
          <w:p w14:paraId="47E6FD5A" w14:textId="77777777" w:rsidR="007E1642" w:rsidRDefault="00A17B39">
            <w:pPr>
              <w:ind w:right="34"/>
              <w:jc w:val="center"/>
              <w:rPr>
                <w:i/>
              </w:rPr>
            </w:pPr>
            <w:r>
              <w:rPr>
                <w:i/>
              </w:rPr>
              <w:t>v</w:t>
            </w:r>
            <w:r>
              <w:rPr>
                <w:i/>
                <w:vertAlign w:val="subscript"/>
              </w:rPr>
              <w:t>ref,0</w:t>
            </w:r>
          </w:p>
        </w:tc>
        <w:tc>
          <w:tcPr>
            <w:tcW w:w="6804" w:type="dxa"/>
          </w:tcPr>
          <w:p w14:paraId="47E6FD5B" w14:textId="77777777" w:rsidR="007E1642" w:rsidRDefault="00A17B39">
            <w:pPr>
              <w:ind w:right="34"/>
            </w:pPr>
            <w:r>
              <w:t>vėjo greičio pagrindinė atskaitinė reikšmė</w:t>
            </w:r>
          </w:p>
        </w:tc>
        <w:tc>
          <w:tcPr>
            <w:tcW w:w="1438" w:type="dxa"/>
          </w:tcPr>
          <w:p w14:paraId="47E6FD5C" w14:textId="77777777" w:rsidR="007E1642" w:rsidRDefault="00A17B39">
            <w:pPr>
              <w:ind w:right="34"/>
              <w:jc w:val="center"/>
            </w:pPr>
            <w:r>
              <w:t>m/s</w:t>
            </w:r>
          </w:p>
        </w:tc>
      </w:tr>
      <w:tr w:rsidR="007E1642" w14:paraId="47E6FD61" w14:textId="77777777">
        <w:trPr>
          <w:cantSplit/>
          <w:trHeight w:val="20"/>
        </w:trPr>
        <w:tc>
          <w:tcPr>
            <w:tcW w:w="1101" w:type="dxa"/>
          </w:tcPr>
          <w:p w14:paraId="47E6FD5E" w14:textId="77777777" w:rsidR="007E1642" w:rsidRDefault="00A17B39">
            <w:pPr>
              <w:ind w:right="34"/>
              <w:jc w:val="center"/>
              <w:rPr>
                <w:i/>
              </w:rPr>
            </w:pPr>
            <w:proofErr w:type="spellStart"/>
            <w:r>
              <w:rPr>
                <w:i/>
              </w:rPr>
              <w:t>c</w:t>
            </w:r>
            <w:r>
              <w:rPr>
                <w:i/>
                <w:vertAlign w:val="subscript"/>
              </w:rPr>
              <w:t>DIR</w:t>
            </w:r>
            <w:proofErr w:type="spellEnd"/>
          </w:p>
        </w:tc>
        <w:tc>
          <w:tcPr>
            <w:tcW w:w="6804" w:type="dxa"/>
          </w:tcPr>
          <w:p w14:paraId="47E6FD5F" w14:textId="77777777" w:rsidR="007E1642" w:rsidRDefault="00A17B39">
            <w:pPr>
              <w:ind w:right="34"/>
            </w:pPr>
            <w:r>
              <w:t>krypties koeficientas</w:t>
            </w:r>
          </w:p>
        </w:tc>
        <w:tc>
          <w:tcPr>
            <w:tcW w:w="1438" w:type="dxa"/>
          </w:tcPr>
          <w:p w14:paraId="47E6FD60" w14:textId="77777777" w:rsidR="007E1642" w:rsidRDefault="00A17B39">
            <w:pPr>
              <w:ind w:right="34"/>
              <w:jc w:val="center"/>
            </w:pPr>
            <w:r>
              <w:t>-</w:t>
            </w:r>
          </w:p>
        </w:tc>
      </w:tr>
      <w:tr w:rsidR="007E1642" w14:paraId="47E6FD65" w14:textId="77777777">
        <w:trPr>
          <w:cantSplit/>
          <w:trHeight w:val="20"/>
        </w:trPr>
        <w:tc>
          <w:tcPr>
            <w:tcW w:w="1101" w:type="dxa"/>
          </w:tcPr>
          <w:p w14:paraId="47E6FD62" w14:textId="77777777" w:rsidR="007E1642" w:rsidRDefault="00A17B39">
            <w:pPr>
              <w:ind w:right="34"/>
              <w:jc w:val="center"/>
              <w:rPr>
                <w:i/>
              </w:rPr>
            </w:pPr>
            <w:proofErr w:type="spellStart"/>
            <w:r>
              <w:rPr>
                <w:i/>
              </w:rPr>
              <w:t>c</w:t>
            </w:r>
            <w:r>
              <w:rPr>
                <w:i/>
                <w:vertAlign w:val="subscript"/>
              </w:rPr>
              <w:t>TEM</w:t>
            </w:r>
            <w:proofErr w:type="spellEnd"/>
          </w:p>
        </w:tc>
        <w:tc>
          <w:tcPr>
            <w:tcW w:w="6804" w:type="dxa"/>
          </w:tcPr>
          <w:p w14:paraId="47E6FD63" w14:textId="77777777" w:rsidR="007E1642" w:rsidRDefault="00A17B39">
            <w:pPr>
              <w:ind w:right="34"/>
            </w:pPr>
            <w:r>
              <w:t>laikotarpio (sezono) koeficientas</w:t>
            </w:r>
          </w:p>
        </w:tc>
        <w:tc>
          <w:tcPr>
            <w:tcW w:w="1438" w:type="dxa"/>
          </w:tcPr>
          <w:p w14:paraId="47E6FD64" w14:textId="77777777" w:rsidR="007E1642" w:rsidRDefault="00A17B39">
            <w:pPr>
              <w:ind w:right="34"/>
              <w:jc w:val="center"/>
            </w:pPr>
            <w:r>
              <w:t>-</w:t>
            </w:r>
          </w:p>
        </w:tc>
      </w:tr>
      <w:tr w:rsidR="007E1642" w14:paraId="47E6FD69" w14:textId="77777777">
        <w:trPr>
          <w:cantSplit/>
          <w:trHeight w:val="20"/>
        </w:trPr>
        <w:tc>
          <w:tcPr>
            <w:tcW w:w="1101" w:type="dxa"/>
          </w:tcPr>
          <w:p w14:paraId="47E6FD66" w14:textId="77777777" w:rsidR="007E1642" w:rsidRDefault="00A17B39">
            <w:pPr>
              <w:ind w:right="34"/>
              <w:jc w:val="center"/>
              <w:rPr>
                <w:i/>
              </w:rPr>
            </w:pPr>
            <w:proofErr w:type="spellStart"/>
            <w:r>
              <w:rPr>
                <w:i/>
              </w:rPr>
              <w:t>c</w:t>
            </w:r>
            <w:r>
              <w:rPr>
                <w:i/>
                <w:vertAlign w:val="subscript"/>
              </w:rPr>
              <w:t>ALT</w:t>
            </w:r>
            <w:proofErr w:type="spellEnd"/>
          </w:p>
        </w:tc>
        <w:tc>
          <w:tcPr>
            <w:tcW w:w="6804" w:type="dxa"/>
          </w:tcPr>
          <w:p w14:paraId="47E6FD67" w14:textId="77777777" w:rsidR="007E1642" w:rsidRDefault="00A17B39">
            <w:pPr>
              <w:ind w:right="34"/>
            </w:pPr>
            <w:r>
              <w:t>aukščio virš jūros lygio koeficientas</w:t>
            </w:r>
          </w:p>
        </w:tc>
        <w:tc>
          <w:tcPr>
            <w:tcW w:w="1438" w:type="dxa"/>
          </w:tcPr>
          <w:p w14:paraId="47E6FD68" w14:textId="77777777" w:rsidR="007E1642" w:rsidRDefault="00A17B39">
            <w:pPr>
              <w:ind w:right="34"/>
              <w:jc w:val="center"/>
            </w:pPr>
            <w:r>
              <w:t>-</w:t>
            </w:r>
          </w:p>
        </w:tc>
      </w:tr>
      <w:tr w:rsidR="007E1642" w14:paraId="47E6FD6D" w14:textId="77777777">
        <w:trPr>
          <w:cantSplit/>
          <w:trHeight w:val="20"/>
        </w:trPr>
        <w:tc>
          <w:tcPr>
            <w:tcW w:w="1101" w:type="dxa"/>
          </w:tcPr>
          <w:p w14:paraId="47E6FD6A" w14:textId="77777777" w:rsidR="007E1642" w:rsidRDefault="00A17B39">
            <w:pPr>
              <w:ind w:right="34"/>
              <w:jc w:val="center"/>
              <w:rPr>
                <w:i/>
                <w:vertAlign w:val="subscript"/>
              </w:rPr>
            </w:pPr>
            <w:proofErr w:type="spellStart"/>
            <w:r>
              <w:rPr>
                <w:i/>
              </w:rPr>
              <w:t>c</w:t>
            </w:r>
            <w:r>
              <w:rPr>
                <w:i/>
                <w:vertAlign w:val="subscript"/>
              </w:rPr>
              <w:t>e</w:t>
            </w:r>
            <w:proofErr w:type="spellEnd"/>
          </w:p>
        </w:tc>
        <w:tc>
          <w:tcPr>
            <w:tcW w:w="6804" w:type="dxa"/>
          </w:tcPr>
          <w:p w14:paraId="47E6FD6B" w14:textId="77777777" w:rsidR="007E1642" w:rsidRDefault="00A17B39">
            <w:pPr>
              <w:ind w:right="34"/>
            </w:pPr>
            <w:r>
              <w:t>pavėjinis išorinio slėgio aerodinaminis koeficientas</w:t>
            </w:r>
          </w:p>
        </w:tc>
        <w:tc>
          <w:tcPr>
            <w:tcW w:w="1438" w:type="dxa"/>
          </w:tcPr>
          <w:p w14:paraId="47E6FD6C" w14:textId="77777777" w:rsidR="007E1642" w:rsidRDefault="00A17B39">
            <w:pPr>
              <w:ind w:right="34"/>
              <w:jc w:val="center"/>
            </w:pPr>
            <w:r>
              <w:t>-</w:t>
            </w:r>
          </w:p>
        </w:tc>
      </w:tr>
    </w:tbl>
    <w:p w14:paraId="47E6FD6E" w14:textId="77777777" w:rsidR="007E1642" w:rsidRDefault="00A17B39">
      <w:pPr>
        <w:widowControl w:val="0"/>
        <w:suppressAutoHyphens/>
        <w:ind w:firstLine="567"/>
        <w:jc w:val="both"/>
        <w:rPr>
          <w:rFonts w:eastAsia="Arial Unicode MS"/>
          <w:sz w:val="20"/>
        </w:rPr>
      </w:pPr>
    </w:p>
    <w:p w14:paraId="47E6FD6F" w14:textId="77777777" w:rsidR="007E1642" w:rsidRDefault="00A17B39">
      <w:pPr>
        <w:widowControl w:val="0"/>
        <w:suppressAutoHyphens/>
        <w:jc w:val="center"/>
        <w:rPr>
          <w:rFonts w:eastAsia="Arial Unicode MS"/>
        </w:rPr>
      </w:pPr>
      <w:r>
        <w:rPr>
          <w:rFonts w:eastAsia="Arial Unicode MS"/>
          <w:b/>
        </w:rPr>
        <w:t>V</w:t>
      </w:r>
      <w:r>
        <w:rPr>
          <w:rFonts w:eastAsia="Arial Unicode MS"/>
          <w:b/>
        </w:rPr>
        <w:t xml:space="preserve">. </w:t>
      </w:r>
      <w:r>
        <w:rPr>
          <w:rFonts w:eastAsia="Arial Unicode MS"/>
          <w:b/>
        </w:rPr>
        <w:t>REIKALAVIMAI SISTEMŲ TVIRTINIMO PAGRINDUI</w:t>
      </w:r>
    </w:p>
    <w:p w14:paraId="47E6FD70" w14:textId="77777777" w:rsidR="007E1642" w:rsidRDefault="007E1642">
      <w:pPr>
        <w:widowControl w:val="0"/>
        <w:suppressAutoHyphens/>
        <w:ind w:firstLine="567"/>
        <w:jc w:val="both"/>
        <w:rPr>
          <w:rFonts w:eastAsia="Arial Unicode MS"/>
        </w:rPr>
      </w:pPr>
    </w:p>
    <w:p w14:paraId="47E6FD71" w14:textId="77777777" w:rsidR="007E1642" w:rsidRDefault="00A17B39">
      <w:pPr>
        <w:widowControl w:val="0"/>
        <w:suppressAutoHyphens/>
        <w:ind w:firstLine="567"/>
        <w:jc w:val="both"/>
        <w:rPr>
          <w:rFonts w:eastAsia="Arial Unicode MS"/>
        </w:rPr>
      </w:pPr>
      <w:r>
        <w:rPr>
          <w:rFonts w:eastAsia="Arial Unicode MS"/>
        </w:rPr>
        <w:t>11</w:t>
      </w:r>
      <w:r>
        <w:rPr>
          <w:rFonts w:eastAsia="Arial Unicode MS"/>
        </w:rPr>
        <w:t xml:space="preserve">. Pagrindo paviršiaus nelygumai turi būti ne </w:t>
      </w:r>
      <w:r>
        <w:rPr>
          <w:rFonts w:eastAsia="Arial Unicode MS"/>
        </w:rPr>
        <w:t xml:space="preserve">didesni už gamintojo numatytas Sistemos </w:t>
      </w:r>
      <w:r>
        <w:rPr>
          <w:rFonts w:eastAsia="Arial Unicode MS"/>
        </w:rPr>
        <w:lastRenderedPageBreak/>
        <w:t>storio reguliavimo galimybes. Tais atvejais, kai paviršiaus nelygumai didesni už gamintojo numatytas Sistemos storio reguliavimo galimybes, pagrindo paviršius turi būti išlygintas.</w:t>
      </w:r>
    </w:p>
    <w:p w14:paraId="47E6FD72" w14:textId="77777777" w:rsidR="007E1642" w:rsidRDefault="00A17B39">
      <w:pPr>
        <w:widowControl w:val="0"/>
        <w:suppressAutoHyphens/>
        <w:ind w:firstLine="567"/>
        <w:jc w:val="both"/>
        <w:rPr>
          <w:rFonts w:eastAsia="Arial Unicode MS"/>
        </w:rPr>
      </w:pPr>
      <w:r>
        <w:rPr>
          <w:rFonts w:eastAsia="Arial Unicode MS"/>
        </w:rPr>
        <w:t>12</w:t>
      </w:r>
      <w:r>
        <w:rPr>
          <w:rFonts w:eastAsia="Arial Unicode MS"/>
        </w:rPr>
        <w:t>. Pagrindo sandarumas turi at</w:t>
      </w:r>
      <w:r>
        <w:rPr>
          <w:rFonts w:eastAsia="Arial Unicode MS"/>
        </w:rPr>
        <w:t xml:space="preserve">itikti STR 2.05.01:2005 „Pastatų atitvarų šiluminė technika“ </w:t>
      </w:r>
      <w:r>
        <w:rPr>
          <w:rFonts w:eastAsia="Arial Unicode MS" w:cs="Tahoma"/>
          <w:bCs/>
        </w:rPr>
        <w:t>[7.4]</w:t>
      </w:r>
      <w:r>
        <w:rPr>
          <w:rFonts w:eastAsia="Arial Unicode MS" w:cs="Tahoma"/>
        </w:rPr>
        <w:t xml:space="preserve"> 10.3 punkto reikalavimus ir turi </w:t>
      </w:r>
      <w:r>
        <w:rPr>
          <w:rFonts w:eastAsia="Arial Unicode MS"/>
        </w:rPr>
        <w:t>būti užtikrintas prieš įrengiant Sistemą. Atliekant Sistemos ir kitus pastato įrengimo darbus, pastato sandarumas negali būti sumažintas.</w:t>
      </w:r>
    </w:p>
    <w:p w14:paraId="47E6FD73" w14:textId="77777777" w:rsidR="007E1642" w:rsidRDefault="00A17B39">
      <w:pPr>
        <w:widowControl w:val="0"/>
        <w:suppressAutoHyphens/>
        <w:ind w:firstLine="567"/>
        <w:jc w:val="both"/>
        <w:rPr>
          <w:rFonts w:eastAsia="Arial Unicode MS"/>
        </w:rPr>
      </w:pPr>
      <w:r>
        <w:rPr>
          <w:rFonts w:eastAsia="Arial Unicode MS"/>
        </w:rPr>
        <w:t>13</w:t>
      </w:r>
      <w:r>
        <w:rPr>
          <w:rFonts w:eastAsia="Arial Unicode MS"/>
        </w:rPr>
        <w:t>. Pagrindo s</w:t>
      </w:r>
      <w:r>
        <w:rPr>
          <w:rFonts w:eastAsia="Arial Unicode MS"/>
        </w:rPr>
        <w:t>tiprumas turi būti pakankamas atlaikyti Sistemos sukeliamas apkrovas. Sistemos tvirtinimo prie pagrindo elementai parenkami pagal šių elementų tiekėjų nurodytas tvirtinimo elementų ištraukimo iš konkrečios rūšies pagrindo vertes. Kai pagrindo rūšis arba jo</w:t>
      </w:r>
      <w:r>
        <w:rPr>
          <w:rFonts w:eastAsia="Arial Unicode MS"/>
        </w:rPr>
        <w:t xml:space="preserve"> savybės neatitinka tvirtinimo elementų naudojimo aprašų, projektuotojas arba rangovas turi atlikti elementų ištraukimo iš pagrindo bandymus.</w:t>
      </w:r>
    </w:p>
    <w:p w14:paraId="47E6FD74" w14:textId="77777777" w:rsidR="007E1642" w:rsidRDefault="00A17B39">
      <w:pPr>
        <w:widowControl w:val="0"/>
        <w:suppressAutoHyphens/>
        <w:ind w:firstLine="634"/>
        <w:jc w:val="both"/>
        <w:rPr>
          <w:rFonts w:eastAsia="Arial Unicode MS"/>
        </w:rPr>
      </w:pPr>
    </w:p>
    <w:p w14:paraId="47E6FD75" w14:textId="77777777" w:rsidR="007E1642" w:rsidRDefault="00A17B39">
      <w:pPr>
        <w:widowControl w:val="0"/>
        <w:suppressAutoHyphens/>
        <w:jc w:val="center"/>
        <w:rPr>
          <w:rFonts w:eastAsia="Arial Unicode MS"/>
          <w:b/>
        </w:rPr>
      </w:pPr>
      <w:r>
        <w:rPr>
          <w:rFonts w:eastAsia="Arial Unicode MS"/>
          <w:b/>
        </w:rPr>
        <w:t>VI</w:t>
      </w:r>
      <w:r>
        <w:rPr>
          <w:rFonts w:eastAsia="Arial Unicode MS"/>
          <w:b/>
        </w:rPr>
        <w:t xml:space="preserve">. </w:t>
      </w:r>
      <w:r>
        <w:rPr>
          <w:rFonts w:eastAsia="Arial Unicode MS"/>
          <w:b/>
        </w:rPr>
        <w:t>REIKALAVIMAI SISTEMŲ TVIRTINIMUI</w:t>
      </w:r>
    </w:p>
    <w:p w14:paraId="47E6FD76" w14:textId="77777777" w:rsidR="007E1642" w:rsidRDefault="007E1642">
      <w:pPr>
        <w:widowControl w:val="0"/>
        <w:suppressAutoHyphens/>
        <w:ind w:firstLine="634"/>
        <w:jc w:val="both"/>
        <w:rPr>
          <w:rFonts w:eastAsia="Arial Unicode MS"/>
        </w:rPr>
      </w:pPr>
    </w:p>
    <w:p w14:paraId="47E6FD77" w14:textId="77777777" w:rsidR="007E1642" w:rsidRDefault="00A17B39">
      <w:pPr>
        <w:ind w:firstLine="567"/>
        <w:jc w:val="both"/>
      </w:pPr>
      <w:r>
        <w:t>14</w:t>
      </w:r>
      <w:r>
        <w:t>. Sistemos atplėšimo nuo pagrindo stipris</w:t>
      </w:r>
      <w:r>
        <w:rPr>
          <w:vertAlign w:val="superscript"/>
        </w:rPr>
        <w:t xml:space="preserve"> </w:t>
      </w:r>
      <w:proofErr w:type="spellStart"/>
      <w:r>
        <w:rPr>
          <w:i/>
        </w:rPr>
        <w:t>R</w:t>
      </w:r>
      <w:r>
        <w:rPr>
          <w:i/>
          <w:vertAlign w:val="subscript"/>
        </w:rPr>
        <w:t>d</w:t>
      </w:r>
      <w:proofErr w:type="spellEnd"/>
      <w:r>
        <w:t xml:space="preserve"> (</w:t>
      </w:r>
      <w:proofErr w:type="spellStart"/>
      <w:r>
        <w:t>kPa</w:t>
      </w:r>
      <w:proofErr w:type="spellEnd"/>
      <w:r>
        <w:t>)</w:t>
      </w:r>
      <w:r>
        <w:rPr>
          <w:b/>
          <w:caps/>
        </w:rPr>
        <w:t xml:space="preserve"> </w:t>
      </w:r>
      <w:r>
        <w:t>apskaičiuojamas pagal vieną iš šių formulių, pasirenkant pavojingiausią variantą:</w:t>
      </w:r>
    </w:p>
    <w:p w14:paraId="47E6FD78" w14:textId="77777777" w:rsidR="007E1642" w:rsidRDefault="007E1642">
      <w:pPr>
        <w:ind w:firstLine="567"/>
        <w:jc w:val="both"/>
        <w:rPr>
          <w:sz w:val="20"/>
        </w:rPr>
      </w:pPr>
    </w:p>
    <w:tbl>
      <w:tblPr>
        <w:tblW w:w="9070" w:type="dxa"/>
        <w:tblLayout w:type="fixed"/>
        <w:tblLook w:val="0000" w:firstRow="0" w:lastRow="0" w:firstColumn="0" w:lastColumn="0" w:noHBand="0" w:noVBand="0"/>
      </w:tblPr>
      <w:tblGrid>
        <w:gridCol w:w="8027"/>
        <w:gridCol w:w="1043"/>
      </w:tblGrid>
      <w:tr w:rsidR="007E1642" w14:paraId="47E6FD7B" w14:textId="77777777">
        <w:tc>
          <w:tcPr>
            <w:tcW w:w="8388" w:type="dxa"/>
          </w:tcPr>
          <w:p w14:paraId="47E6FD79" w14:textId="77777777" w:rsidR="007E1642" w:rsidRDefault="00A17B39">
            <w:pPr>
              <w:tabs>
                <w:tab w:val="right" w:pos="9356"/>
              </w:tabs>
              <w:jc w:val="center"/>
              <w:rPr>
                <w:i/>
                <w:sz w:val="20"/>
              </w:rPr>
            </w:pPr>
            <w:r>
              <w:rPr>
                <w:noProof/>
                <w:position w:val="-28"/>
                <w:sz w:val="20"/>
                <w:lang w:eastAsia="lt-LT"/>
              </w:rPr>
              <w:drawing>
                <wp:inline distT="0" distB="0" distL="0" distR="0" wp14:anchorId="47E6FEFC" wp14:editId="47E6FEFD">
                  <wp:extent cx="94297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457200"/>
                          </a:xfrm>
                          <a:prstGeom prst="rect">
                            <a:avLst/>
                          </a:prstGeom>
                          <a:noFill/>
                          <a:ln>
                            <a:noFill/>
                          </a:ln>
                        </pic:spPr>
                      </pic:pic>
                    </a:graphicData>
                  </a:graphic>
                </wp:inline>
              </w:drawing>
            </w:r>
            <w:proofErr w:type="spellStart"/>
            <w:r>
              <w:rPr>
                <w:i/>
                <w:vanish/>
                <w:position w:val="-28"/>
                <w:sz w:val="20"/>
              </w:rPr>
              <w:t>R</w:t>
            </w:r>
            <w:r>
              <w:rPr>
                <w:i/>
                <w:vanish/>
                <w:position w:val="-28"/>
                <w:sz w:val="20"/>
                <w:vertAlign w:val="subscript"/>
              </w:rPr>
              <w:t>d</w:t>
            </w:r>
            <w:r>
              <w:rPr>
                <w:i/>
                <w:vanish/>
                <w:position w:val="-28"/>
                <w:sz w:val="20"/>
              </w:rPr>
              <w:t>=(N</w:t>
            </w:r>
            <w:r>
              <w:rPr>
                <w:i/>
                <w:vanish/>
                <w:position w:val="-28"/>
                <w:sz w:val="20"/>
                <w:vertAlign w:val="subscript"/>
              </w:rPr>
              <w:t>Rt</w:t>
            </w:r>
            <w:proofErr w:type="spellEnd"/>
            <w:r>
              <w:rPr>
                <w:i/>
                <w:vanish/>
                <w:position w:val="-28"/>
                <w:sz w:val="20"/>
              </w:rPr>
              <w:t xml:space="preserve"> * n) / gama</w:t>
            </w:r>
          </w:p>
        </w:tc>
        <w:tc>
          <w:tcPr>
            <w:tcW w:w="1080" w:type="dxa"/>
            <w:vAlign w:val="center"/>
          </w:tcPr>
          <w:p w14:paraId="47E6FD7A" w14:textId="77777777" w:rsidR="007E1642" w:rsidRDefault="00A17B39">
            <w:pPr>
              <w:tabs>
                <w:tab w:val="right" w:pos="9356"/>
              </w:tabs>
              <w:jc w:val="right"/>
            </w:pPr>
            <w:r>
              <w:t>(1)</w:t>
            </w:r>
          </w:p>
        </w:tc>
      </w:tr>
    </w:tbl>
    <w:p w14:paraId="47E6FD7C" w14:textId="77777777" w:rsidR="007E1642" w:rsidRDefault="00A17B39">
      <w:pPr>
        <w:ind w:firstLine="567"/>
        <w:jc w:val="both"/>
      </w:pPr>
      <w:r>
        <w:t>arba</w:t>
      </w:r>
    </w:p>
    <w:tbl>
      <w:tblPr>
        <w:tblW w:w="9070" w:type="dxa"/>
        <w:tblLayout w:type="fixed"/>
        <w:tblLook w:val="0000" w:firstRow="0" w:lastRow="0" w:firstColumn="0" w:lastColumn="0" w:noHBand="0" w:noVBand="0"/>
      </w:tblPr>
      <w:tblGrid>
        <w:gridCol w:w="8027"/>
        <w:gridCol w:w="1043"/>
      </w:tblGrid>
      <w:tr w:rsidR="007E1642" w14:paraId="47E6FD7F" w14:textId="77777777">
        <w:tc>
          <w:tcPr>
            <w:tcW w:w="8388" w:type="dxa"/>
          </w:tcPr>
          <w:p w14:paraId="47E6FD7D" w14:textId="77777777" w:rsidR="007E1642" w:rsidRDefault="00A17B39">
            <w:pPr>
              <w:tabs>
                <w:tab w:val="right" w:pos="9356"/>
              </w:tabs>
              <w:jc w:val="center"/>
              <w:rPr>
                <w:sz w:val="20"/>
              </w:rPr>
            </w:pPr>
            <w:r>
              <w:rPr>
                <w:noProof/>
                <w:position w:val="-28"/>
                <w:sz w:val="20"/>
                <w:lang w:eastAsia="lt-LT"/>
              </w:rPr>
              <w:drawing>
                <wp:inline distT="0" distB="0" distL="0" distR="0" wp14:anchorId="47E6FEFE" wp14:editId="47E6FEFF">
                  <wp:extent cx="84772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a:ln>
                            <a:noFill/>
                          </a:ln>
                        </pic:spPr>
                      </pic:pic>
                    </a:graphicData>
                  </a:graphic>
                </wp:inline>
              </w:drawing>
            </w:r>
            <w:proofErr w:type="spellStart"/>
            <w:r>
              <w:rPr>
                <w:i/>
                <w:vanish/>
                <w:position w:val="-28"/>
                <w:sz w:val="20"/>
              </w:rPr>
              <w:t>R</w:t>
            </w:r>
            <w:r>
              <w:rPr>
                <w:i/>
                <w:vanish/>
                <w:position w:val="-28"/>
                <w:sz w:val="20"/>
                <w:vertAlign w:val="subscript"/>
              </w:rPr>
              <w:t>d</w:t>
            </w:r>
            <w:r>
              <w:rPr>
                <w:i/>
                <w:vanish/>
                <w:position w:val="-28"/>
                <w:sz w:val="20"/>
              </w:rPr>
              <w:t>=(N</w:t>
            </w:r>
            <w:r>
              <w:rPr>
                <w:i/>
                <w:vanish/>
                <w:position w:val="-28"/>
                <w:sz w:val="20"/>
                <w:vertAlign w:val="subscript"/>
              </w:rPr>
              <w:t>t</w:t>
            </w:r>
            <w:proofErr w:type="spellEnd"/>
            <w:r>
              <w:rPr>
                <w:i/>
                <w:vanish/>
                <w:position w:val="-28"/>
                <w:sz w:val="20"/>
              </w:rPr>
              <w:t xml:space="preserve"> * n) / gama</w:t>
            </w:r>
            <w:r>
              <w:rPr>
                <w:sz w:val="20"/>
              </w:rPr>
              <w:t xml:space="preserve"> ,</w:t>
            </w:r>
          </w:p>
        </w:tc>
        <w:tc>
          <w:tcPr>
            <w:tcW w:w="1080" w:type="dxa"/>
            <w:vAlign w:val="center"/>
          </w:tcPr>
          <w:p w14:paraId="47E6FD7E" w14:textId="77777777" w:rsidR="007E1642" w:rsidRDefault="00A17B39">
            <w:pPr>
              <w:tabs>
                <w:tab w:val="right" w:pos="9356"/>
              </w:tabs>
              <w:jc w:val="right"/>
            </w:pPr>
            <w:r>
              <w:t>(2)</w:t>
            </w:r>
          </w:p>
        </w:tc>
      </w:tr>
    </w:tbl>
    <w:p w14:paraId="47E6FD80" w14:textId="77777777" w:rsidR="007E1642" w:rsidRDefault="007E1642">
      <w:pPr>
        <w:ind w:left="360"/>
        <w:jc w:val="center"/>
        <w:rPr>
          <w:sz w:val="20"/>
          <w:highlight w:val="yellow"/>
        </w:rPr>
      </w:pPr>
    </w:p>
    <w:p w14:paraId="47E6FD81" w14:textId="77777777" w:rsidR="007E1642" w:rsidRDefault="00A17B39">
      <w:pPr>
        <w:jc w:val="both"/>
      </w:pPr>
      <w:r>
        <w:t xml:space="preserve">čia: </w:t>
      </w:r>
    </w:p>
    <w:p w14:paraId="47E6FD82" w14:textId="77777777" w:rsidR="007E1642" w:rsidRDefault="00A17B39">
      <w:pPr>
        <w:ind w:firstLine="567"/>
        <w:jc w:val="both"/>
      </w:pPr>
      <w:proofErr w:type="spellStart"/>
      <w:r>
        <w:rPr>
          <w:i/>
        </w:rPr>
        <w:t>R</w:t>
      </w:r>
      <w:r>
        <w:rPr>
          <w:i/>
          <w:vertAlign w:val="subscript"/>
        </w:rPr>
        <w:t>d</w:t>
      </w:r>
      <w:proofErr w:type="spellEnd"/>
      <w:r>
        <w:t xml:space="preserve"> – Sistemos atplėšimo stipris, </w:t>
      </w:r>
      <w:proofErr w:type="spellStart"/>
      <w:r>
        <w:t>kPa</w:t>
      </w:r>
      <w:proofErr w:type="spellEnd"/>
      <w:r>
        <w:t>;</w:t>
      </w:r>
    </w:p>
    <w:p w14:paraId="47E6FD83" w14:textId="77777777" w:rsidR="007E1642" w:rsidRDefault="00A17B39">
      <w:pPr>
        <w:ind w:firstLine="567"/>
        <w:jc w:val="both"/>
      </w:pPr>
      <w:proofErr w:type="spellStart"/>
      <w:r>
        <w:rPr>
          <w:i/>
        </w:rPr>
        <w:t>N</w:t>
      </w:r>
      <w:r>
        <w:rPr>
          <w:i/>
          <w:vertAlign w:val="subscript"/>
        </w:rPr>
        <w:t>Rt</w:t>
      </w:r>
      <w:proofErr w:type="spellEnd"/>
      <w:r>
        <w:t xml:space="preserve"> – Sistemos tvirtinimo prie pagrindo elemento ištraukimo iš pagrindo jėga, </w:t>
      </w:r>
      <w:proofErr w:type="spellStart"/>
      <w:r>
        <w:t>kN</w:t>
      </w:r>
      <w:proofErr w:type="spellEnd"/>
      <w:r>
        <w:t xml:space="preserve"> (vertę pateikia elementų gamintojas arba ji nustatoma projektuotojo ar rangovo atliekamu bandymu statybos aikštelėje);</w:t>
      </w:r>
    </w:p>
    <w:p w14:paraId="47E6FD84" w14:textId="77777777" w:rsidR="007E1642" w:rsidRDefault="00A17B39">
      <w:pPr>
        <w:ind w:firstLine="567"/>
        <w:jc w:val="both"/>
      </w:pPr>
      <w:proofErr w:type="spellStart"/>
      <w:r>
        <w:rPr>
          <w:i/>
        </w:rPr>
        <w:t>N</w:t>
      </w:r>
      <w:r>
        <w:rPr>
          <w:i/>
          <w:vertAlign w:val="subscript"/>
        </w:rPr>
        <w:t>t</w:t>
      </w:r>
      <w:proofErr w:type="spellEnd"/>
      <w:r>
        <w:rPr>
          <w:i/>
        </w:rPr>
        <w:t xml:space="preserve"> – </w:t>
      </w:r>
      <w:r>
        <w:t xml:space="preserve">elemento nutraukimo jėga, </w:t>
      </w:r>
      <w:proofErr w:type="spellStart"/>
      <w:r>
        <w:t>kN</w:t>
      </w:r>
      <w:proofErr w:type="spellEnd"/>
      <w:r>
        <w:t xml:space="preserve"> (vertę pateikia elementų </w:t>
      </w:r>
      <w:r>
        <w:t>gamintojas);</w:t>
      </w:r>
    </w:p>
    <w:p w14:paraId="47E6FD85" w14:textId="77777777" w:rsidR="007E1642" w:rsidRDefault="00A17B39">
      <w:pPr>
        <w:ind w:firstLine="567"/>
        <w:jc w:val="both"/>
      </w:pPr>
      <w:r>
        <w:rPr>
          <w:i/>
        </w:rPr>
        <w:t>n</w:t>
      </w:r>
      <w:r>
        <w:t xml:space="preserve"> – tvirtinimo elementų kiekis, vnt./m</w:t>
      </w:r>
      <w:r>
        <w:rPr>
          <w:vertAlign w:val="superscript"/>
        </w:rPr>
        <w:t>2</w:t>
      </w:r>
      <w:r>
        <w:t>;</w:t>
      </w:r>
    </w:p>
    <w:p w14:paraId="47E6FD86" w14:textId="77777777" w:rsidR="007E1642" w:rsidRDefault="00A17B39">
      <w:pPr>
        <w:ind w:firstLine="567"/>
        <w:jc w:val="both"/>
      </w:pPr>
      <w:r>
        <w:rPr>
          <w:i/>
          <w:vanish/>
        </w:rPr>
        <w:t>gama</w:t>
      </w:r>
      <w:r>
        <w:rPr>
          <w:i/>
        </w:rPr>
        <w:sym w:font="SymbolPS" w:char="F067"/>
      </w:r>
      <w:r>
        <w:t xml:space="preserve">  – atsargos koeficientas.</w:t>
      </w:r>
      <w:r>
        <w:rPr>
          <w:bCs/>
          <w:caps/>
        </w:rPr>
        <w:t xml:space="preserve"> </w:t>
      </w:r>
      <w:r>
        <w:rPr>
          <w:bCs/>
        </w:rPr>
        <w:t>Jei suminis Sistemos karkaso ir apdailos elementų svoris ne didesnis kaip 30 kg/m</w:t>
      </w:r>
      <w:r>
        <w:rPr>
          <w:bCs/>
          <w:vertAlign w:val="superscript"/>
        </w:rPr>
        <w:t>2</w:t>
      </w:r>
      <w:r>
        <w:rPr>
          <w:bCs/>
        </w:rPr>
        <w:t xml:space="preserve">, </w:t>
      </w:r>
      <w:r>
        <w:rPr>
          <w:i/>
          <w:vanish/>
        </w:rPr>
        <w:t>gama</w:t>
      </w:r>
      <w:r>
        <w:rPr>
          <w:i/>
        </w:rPr>
        <w:sym w:font="SymbolPS" w:char="F067"/>
      </w:r>
      <w:r>
        <w:sym w:font="SymbolPS" w:char="F03D"/>
      </w:r>
      <w:r>
        <w:t>1,5</w:t>
      </w:r>
      <w:r>
        <w:rPr>
          <w:i/>
        </w:rPr>
        <w:t xml:space="preserve">. </w:t>
      </w:r>
      <w:r>
        <w:rPr>
          <w:bCs/>
        </w:rPr>
        <w:t xml:space="preserve">Kitais atvejais </w:t>
      </w:r>
      <w:r>
        <w:rPr>
          <w:i/>
          <w:vanish/>
        </w:rPr>
        <w:t>gama</w:t>
      </w:r>
      <w:r>
        <w:rPr>
          <w:i/>
        </w:rPr>
        <w:sym w:font="SymbolPS" w:char="F067"/>
      </w:r>
      <w:r>
        <w:sym w:font="SymbolPS" w:char="F03D"/>
      </w:r>
      <w:r>
        <w:t>2</w:t>
      </w:r>
      <w:r>
        <w:rPr>
          <w:i/>
        </w:rPr>
        <w:t>.</w:t>
      </w:r>
    </w:p>
    <w:p w14:paraId="47E6FD87" w14:textId="77777777" w:rsidR="007E1642" w:rsidRDefault="00A17B39">
      <w:pPr>
        <w:ind w:firstLine="567"/>
        <w:jc w:val="both"/>
      </w:pPr>
      <w:r>
        <w:t>15</w:t>
      </w:r>
      <w:r>
        <w:t xml:space="preserve">. Sistemos atplėšimo nuo pagrindo stipris </w:t>
      </w:r>
      <w:proofErr w:type="spellStart"/>
      <w:r>
        <w:rPr>
          <w:i/>
        </w:rPr>
        <w:t>R</w:t>
      </w:r>
      <w:r>
        <w:rPr>
          <w:i/>
          <w:vertAlign w:val="subscript"/>
        </w:rPr>
        <w:t>d</w:t>
      </w:r>
      <w:proofErr w:type="spellEnd"/>
      <w:r>
        <w:t xml:space="preserve"> (</w:t>
      </w:r>
      <w:proofErr w:type="spellStart"/>
      <w:r>
        <w:t>kPa</w:t>
      </w:r>
      <w:proofErr w:type="spellEnd"/>
      <w:r>
        <w:t xml:space="preserve">) turi būti ne mažesnis kaip projektinę vėjo apkrovą </w:t>
      </w:r>
      <w:proofErr w:type="spellStart"/>
      <w:r>
        <w:rPr>
          <w:i/>
        </w:rPr>
        <w:t>S</w:t>
      </w:r>
      <w:r>
        <w:rPr>
          <w:i/>
          <w:vertAlign w:val="subscript"/>
        </w:rPr>
        <w:t>d</w:t>
      </w:r>
      <w:proofErr w:type="spellEnd"/>
      <w:r>
        <w:t xml:space="preserve"> (</w:t>
      </w:r>
      <w:proofErr w:type="spellStart"/>
      <w:r>
        <w:t>kPa</w:t>
      </w:r>
      <w:proofErr w:type="spellEnd"/>
      <w:r>
        <w:t xml:space="preserve">). Projektinė vėjo apkrova </w:t>
      </w:r>
      <w:proofErr w:type="spellStart"/>
      <w:r>
        <w:t>S</w:t>
      </w:r>
      <w:r>
        <w:rPr>
          <w:vertAlign w:val="subscript"/>
        </w:rPr>
        <w:t>d</w:t>
      </w:r>
      <w:proofErr w:type="spellEnd"/>
      <w:r>
        <w:t xml:space="preserve"> (</w:t>
      </w:r>
      <w:proofErr w:type="spellStart"/>
      <w:r>
        <w:t>kPa</w:t>
      </w:r>
      <w:proofErr w:type="spellEnd"/>
      <w:r>
        <w:t xml:space="preserve">) apskaičiuojama pagal STR 2.05.04:2003 „Poveikiai ir apkrovos“ </w:t>
      </w:r>
      <w:r>
        <w:rPr>
          <w:bCs/>
        </w:rPr>
        <w:t>[7.5]</w:t>
      </w:r>
      <w:r>
        <w:t xml:space="preserve"> arba Reglamento priede pateiktą metodiką.</w:t>
      </w:r>
    </w:p>
    <w:p w14:paraId="47E6FD88" w14:textId="77777777" w:rsidR="007E1642" w:rsidRDefault="007E1642">
      <w:pPr>
        <w:ind w:firstLine="567"/>
        <w:jc w:val="both"/>
      </w:pPr>
    </w:p>
    <w:tbl>
      <w:tblPr>
        <w:tblW w:w="9070" w:type="dxa"/>
        <w:tblLayout w:type="fixed"/>
        <w:tblLook w:val="0000" w:firstRow="0" w:lastRow="0" w:firstColumn="0" w:lastColumn="0" w:noHBand="0" w:noVBand="0"/>
      </w:tblPr>
      <w:tblGrid>
        <w:gridCol w:w="8027"/>
        <w:gridCol w:w="1043"/>
      </w:tblGrid>
      <w:tr w:rsidR="007E1642" w14:paraId="47E6FD8B" w14:textId="77777777">
        <w:tc>
          <w:tcPr>
            <w:tcW w:w="8388" w:type="dxa"/>
          </w:tcPr>
          <w:p w14:paraId="47E6FD89" w14:textId="77777777" w:rsidR="007E1642" w:rsidRDefault="00A17B39">
            <w:pPr>
              <w:tabs>
                <w:tab w:val="right" w:pos="9356"/>
              </w:tabs>
              <w:jc w:val="center"/>
            </w:pPr>
            <w:r>
              <w:rPr>
                <w:noProof/>
                <w:position w:val="-12"/>
                <w:lang w:eastAsia="lt-LT"/>
              </w:rPr>
              <w:drawing>
                <wp:inline distT="0" distB="0" distL="0" distR="0" wp14:anchorId="47E6FF00" wp14:editId="47E6FF01">
                  <wp:extent cx="533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roofErr w:type="spellStart"/>
            <w:r>
              <w:rPr>
                <w:vanish/>
                <w:position w:val="-12"/>
              </w:rPr>
              <w:t>R</w:t>
            </w:r>
            <w:r>
              <w:rPr>
                <w:vanish/>
                <w:position w:val="-12"/>
                <w:vertAlign w:val="subscript"/>
              </w:rPr>
              <w:t>d</w:t>
            </w:r>
            <w:proofErr w:type="spellEnd"/>
            <w:r>
              <w:rPr>
                <w:vanish/>
                <w:position w:val="-12"/>
              </w:rPr>
              <w:t>&gt;=</w:t>
            </w:r>
            <w:proofErr w:type="spellStart"/>
            <w:r>
              <w:rPr>
                <w:vanish/>
                <w:position w:val="-12"/>
              </w:rPr>
              <w:t>S</w:t>
            </w:r>
            <w:r>
              <w:rPr>
                <w:vanish/>
                <w:position w:val="-12"/>
                <w:vertAlign w:val="subscript"/>
              </w:rPr>
              <w:t>d</w:t>
            </w:r>
            <w:proofErr w:type="spellEnd"/>
            <w:r>
              <w:rPr>
                <w:vanish/>
              </w:rPr>
              <w:t>.</w:t>
            </w:r>
          </w:p>
        </w:tc>
        <w:tc>
          <w:tcPr>
            <w:tcW w:w="1080" w:type="dxa"/>
            <w:vAlign w:val="center"/>
          </w:tcPr>
          <w:p w14:paraId="47E6FD8A" w14:textId="77777777" w:rsidR="007E1642" w:rsidRDefault="00A17B39">
            <w:pPr>
              <w:tabs>
                <w:tab w:val="right" w:pos="9356"/>
              </w:tabs>
              <w:jc w:val="right"/>
            </w:pPr>
            <w:r>
              <w:t>(3)</w:t>
            </w:r>
          </w:p>
        </w:tc>
      </w:tr>
    </w:tbl>
    <w:p w14:paraId="47E6FD8C" w14:textId="77777777" w:rsidR="007E1642" w:rsidRDefault="00A17B39">
      <w:pPr>
        <w:ind w:firstLine="567"/>
        <w:jc w:val="both"/>
        <w:rPr>
          <w:sz w:val="20"/>
        </w:rPr>
      </w:pPr>
    </w:p>
    <w:p w14:paraId="47E6FD8D" w14:textId="77777777" w:rsidR="007E1642" w:rsidRDefault="00A17B39">
      <w:pPr>
        <w:tabs>
          <w:tab w:val="right" w:pos="9356"/>
        </w:tabs>
        <w:ind w:firstLine="567"/>
        <w:jc w:val="both"/>
      </w:pPr>
      <w:r>
        <w:t>16</w:t>
      </w:r>
      <w:r>
        <w:t xml:space="preserve">. Nejudami ir paslankūs Sistemos karkaso elementų sujungimai turi būti atsparūs projektinės vėjo apkrovos </w:t>
      </w:r>
      <w:proofErr w:type="spellStart"/>
      <w:r>
        <w:rPr>
          <w:i/>
        </w:rPr>
        <w:t>S</w:t>
      </w:r>
      <w:r>
        <w:rPr>
          <w:i/>
          <w:vertAlign w:val="subscript"/>
        </w:rPr>
        <w:t>d</w:t>
      </w:r>
      <w:proofErr w:type="spellEnd"/>
      <w:r>
        <w:t xml:space="preserve"> (</w:t>
      </w:r>
      <w:proofErr w:type="spellStart"/>
      <w:r>
        <w:t>kPa</w:t>
      </w:r>
      <w:proofErr w:type="spellEnd"/>
      <w:r>
        <w:t>) poveikiui. Sistemos karkaso elementų sujungimų stipris turi būti nustatytas Sistemos karkaso tiekėjui atlikus skaičiavimus arba bandymus.</w:t>
      </w:r>
    </w:p>
    <w:p w14:paraId="47E6FD8E" w14:textId="77777777" w:rsidR="007E1642" w:rsidRDefault="00A17B39">
      <w:pPr>
        <w:tabs>
          <w:tab w:val="right" w:pos="9356"/>
        </w:tabs>
        <w:ind w:firstLine="567"/>
        <w:jc w:val="both"/>
      </w:pPr>
      <w:r>
        <w:t>1</w:t>
      </w:r>
      <w:r>
        <w:t>7</w:t>
      </w:r>
      <w:r>
        <w:t xml:space="preserve">. Apdailos elementų tvirtinimo prie karkaso stipris turi būti ne mažesnis už projektinę vėjo apkrovą </w:t>
      </w:r>
      <w:proofErr w:type="spellStart"/>
      <w:r>
        <w:rPr>
          <w:i/>
        </w:rPr>
        <w:t>S</w:t>
      </w:r>
      <w:r>
        <w:rPr>
          <w:i/>
          <w:vertAlign w:val="subscript"/>
        </w:rPr>
        <w:t>d</w:t>
      </w:r>
      <w:proofErr w:type="spellEnd"/>
      <w:r>
        <w:t xml:space="preserve">, </w:t>
      </w:r>
      <w:proofErr w:type="spellStart"/>
      <w:r>
        <w:t>kPa</w:t>
      </w:r>
      <w:proofErr w:type="spellEnd"/>
      <w:r>
        <w:t>. Apdailos elementų tvirtinimo prie Sistemos karkaso stipris turi būti nustatytas skaičiavimais arba bandymais. Apdailos elementai turi būti mont</w:t>
      </w:r>
      <w:r>
        <w:t>uojami pagal jų gamintojų pateiktas montavimo instrukcijas.</w:t>
      </w:r>
    </w:p>
    <w:p w14:paraId="47E6FD8F" w14:textId="77777777" w:rsidR="007E1642" w:rsidRDefault="00A17B39">
      <w:pPr>
        <w:widowControl w:val="0"/>
        <w:suppressAutoHyphens/>
        <w:ind w:firstLine="567"/>
        <w:jc w:val="both"/>
        <w:rPr>
          <w:rFonts w:eastAsia="Arial Unicode MS"/>
          <w:b/>
          <w:bCs/>
        </w:rPr>
      </w:pPr>
    </w:p>
    <w:p w14:paraId="47E6FD90" w14:textId="77777777" w:rsidR="007E1642" w:rsidRDefault="00A17B39">
      <w:pPr>
        <w:widowControl w:val="0"/>
        <w:suppressAutoHyphens/>
        <w:jc w:val="center"/>
        <w:rPr>
          <w:rFonts w:eastAsia="Arial Unicode MS"/>
          <w:b/>
        </w:rPr>
      </w:pPr>
      <w:r>
        <w:rPr>
          <w:rFonts w:eastAsia="Arial Unicode MS"/>
          <w:b/>
        </w:rPr>
        <w:t>VII</w:t>
      </w:r>
      <w:r>
        <w:rPr>
          <w:rFonts w:eastAsia="Arial Unicode MS"/>
          <w:b/>
        </w:rPr>
        <w:t xml:space="preserve">. </w:t>
      </w:r>
      <w:r>
        <w:rPr>
          <w:rFonts w:eastAsia="Arial Unicode MS"/>
          <w:b/>
        </w:rPr>
        <w:t>REIKALAVIMAI SISTEMOS KARKASUI</w:t>
      </w:r>
    </w:p>
    <w:p w14:paraId="47E6FD91" w14:textId="77777777" w:rsidR="007E1642" w:rsidRDefault="007E1642">
      <w:pPr>
        <w:widowControl w:val="0"/>
        <w:suppressAutoHyphens/>
        <w:ind w:firstLine="634"/>
        <w:jc w:val="both"/>
        <w:rPr>
          <w:rFonts w:eastAsia="Arial Unicode MS"/>
        </w:rPr>
      </w:pPr>
    </w:p>
    <w:p w14:paraId="47E6FD92" w14:textId="77777777" w:rsidR="007E1642" w:rsidRDefault="00A17B39">
      <w:pPr>
        <w:widowControl w:val="0"/>
        <w:suppressAutoHyphens/>
        <w:ind w:firstLine="567"/>
        <w:jc w:val="both"/>
        <w:rPr>
          <w:rFonts w:eastAsia="Arial Unicode MS" w:cs="Tahoma"/>
        </w:rPr>
      </w:pPr>
      <w:r>
        <w:rPr>
          <w:rFonts w:eastAsia="Arial Unicode MS" w:cs="Tahoma"/>
        </w:rPr>
        <w:t>18</w:t>
      </w:r>
      <w:r>
        <w:rPr>
          <w:rFonts w:eastAsia="Arial Unicode MS" w:cs="Tahoma"/>
        </w:rPr>
        <w:t xml:space="preserve">. Sistemos karkaso nejudami sujungimai turi atlaikyti savąjį Sistemos svorį. Savasis svoris turi būti nustatytas pagal standartą </w:t>
      </w:r>
      <w:r>
        <w:rPr>
          <w:rFonts w:eastAsia="Arial Unicode MS"/>
          <w:bCs/>
        </w:rPr>
        <w:t>LST EN 1991-1-1:2</w:t>
      </w:r>
      <w:r>
        <w:rPr>
          <w:rFonts w:eastAsia="Arial Unicode MS"/>
          <w:bCs/>
        </w:rPr>
        <w:t>004/AC:2009</w:t>
      </w:r>
      <w:r>
        <w:rPr>
          <w:rFonts w:eastAsia="Arial Unicode MS" w:cs="Tahoma"/>
          <w:bCs/>
        </w:rPr>
        <w:t xml:space="preserve"> [7.11].</w:t>
      </w:r>
      <w:r>
        <w:rPr>
          <w:rFonts w:eastAsia="Arial Unicode MS" w:cs="Tahoma"/>
        </w:rPr>
        <w:t xml:space="preserve"> Nejudami sujungimai turi būti tame pačiame apdailos plokštės aukštyje, kad deformacijos nesukeltų </w:t>
      </w:r>
      <w:r>
        <w:rPr>
          <w:rFonts w:eastAsia="Arial Unicode MS" w:cs="Tahoma"/>
        </w:rPr>
        <w:lastRenderedPageBreak/>
        <w:t>įtempimų apdailoje. Vertikalių apkrovų veikiamo pagrindinio horizontalaus Sistemos karkaso elementų įlinkis turi būti ne didesnis kaip L/5</w:t>
      </w:r>
      <w:r>
        <w:rPr>
          <w:rFonts w:eastAsia="Arial Unicode MS" w:cs="Tahoma"/>
        </w:rPr>
        <w:t>00 (L – atstumas tarp gretimų horizontalaus profilio pritvirtinimo prie pagrindo taškų, m) ir ne didesnis kaip 3 mm.</w:t>
      </w:r>
    </w:p>
    <w:p w14:paraId="47E6FD93" w14:textId="77777777" w:rsidR="007E1642" w:rsidRDefault="00A17B39">
      <w:pPr>
        <w:ind w:firstLine="567"/>
        <w:jc w:val="both"/>
        <w:rPr>
          <w:rFonts w:eastAsia="Calibri"/>
        </w:rPr>
      </w:pPr>
      <w:r>
        <w:rPr>
          <w:rFonts w:eastAsia="Calibri"/>
        </w:rPr>
        <w:t>19</w:t>
      </w:r>
      <w:r>
        <w:rPr>
          <w:rFonts w:eastAsia="Calibri"/>
        </w:rPr>
        <w:t xml:space="preserve">. </w:t>
      </w:r>
      <w:proofErr w:type="spellStart"/>
      <w:r>
        <w:rPr>
          <w:rFonts w:eastAsia="Calibri"/>
        </w:rPr>
        <w:t>Temperatūrinėms</w:t>
      </w:r>
      <w:proofErr w:type="spellEnd"/>
      <w:r>
        <w:rPr>
          <w:rFonts w:eastAsia="Calibri"/>
        </w:rPr>
        <w:t xml:space="preserve"> deformacijoms kompensuoti Sistemos Europos techniniame liudijime arba gaminio deklaracijoje nurodomas didžiausias </w:t>
      </w:r>
      <w:r>
        <w:rPr>
          <w:rFonts w:eastAsia="Calibri"/>
        </w:rPr>
        <w:t>leistinas nepertraukiamo profilio ilgis ir tarpo tarp profilių plotis. Profilių deformacijos neturi paveikti apdailos ir sukelti įtempimų apdailos elementuose. Profilių sudūrimai turi sutapti su plokščių sudūrimais ir šie sudūrimai turi būti tame pačiame a</w:t>
      </w:r>
      <w:r>
        <w:rPr>
          <w:rFonts w:eastAsia="Calibri"/>
        </w:rPr>
        <w:t>ukštyje.</w:t>
      </w:r>
    </w:p>
    <w:p w14:paraId="47E6FD94" w14:textId="77777777" w:rsidR="007E1642" w:rsidRDefault="00A17B39">
      <w:pPr>
        <w:widowControl w:val="0"/>
        <w:suppressAutoHyphens/>
        <w:ind w:firstLine="567"/>
        <w:jc w:val="both"/>
        <w:rPr>
          <w:rFonts w:eastAsia="Arial Unicode MS"/>
          <w:sz w:val="20"/>
        </w:rPr>
      </w:pPr>
    </w:p>
    <w:p w14:paraId="47E6FD95" w14:textId="77777777" w:rsidR="007E1642" w:rsidRDefault="00A17B39">
      <w:pPr>
        <w:widowControl w:val="0"/>
        <w:suppressAutoHyphens/>
        <w:jc w:val="center"/>
        <w:rPr>
          <w:rFonts w:eastAsia="Arial Unicode MS"/>
        </w:rPr>
      </w:pPr>
      <w:r>
        <w:rPr>
          <w:rFonts w:eastAsia="Arial Unicode MS"/>
          <w:b/>
        </w:rPr>
        <w:t>VIII</w:t>
      </w:r>
      <w:r>
        <w:rPr>
          <w:rFonts w:eastAsia="Arial Unicode MS"/>
          <w:b/>
        </w:rPr>
        <w:t xml:space="preserve">. </w:t>
      </w:r>
      <w:r>
        <w:rPr>
          <w:rFonts w:eastAsia="Arial Unicode MS"/>
          <w:b/>
        </w:rPr>
        <w:t>REIKALAVIMAI</w:t>
      </w:r>
      <w:r>
        <w:rPr>
          <w:rFonts w:eastAsia="Arial Unicode MS"/>
        </w:rPr>
        <w:t xml:space="preserve"> </w:t>
      </w:r>
      <w:r>
        <w:rPr>
          <w:rFonts w:eastAsia="Arial Unicode MS"/>
          <w:b/>
        </w:rPr>
        <w:t>TERMOIZOLIACINIO SLUOKSNIO ĮRENGIMUI</w:t>
      </w:r>
    </w:p>
    <w:p w14:paraId="47E6FD96" w14:textId="77777777" w:rsidR="007E1642" w:rsidRDefault="007E1642">
      <w:pPr>
        <w:widowControl w:val="0"/>
        <w:suppressAutoHyphens/>
        <w:ind w:firstLine="567"/>
        <w:jc w:val="both"/>
        <w:rPr>
          <w:rFonts w:eastAsia="Arial Unicode MS"/>
        </w:rPr>
      </w:pPr>
    </w:p>
    <w:p w14:paraId="47E6FD97" w14:textId="77777777" w:rsidR="007E1642" w:rsidRDefault="00A17B39">
      <w:pPr>
        <w:widowControl w:val="0"/>
        <w:suppressAutoHyphens/>
        <w:ind w:firstLine="567"/>
        <w:jc w:val="both"/>
        <w:rPr>
          <w:rFonts w:eastAsia="Arial Unicode MS"/>
        </w:rPr>
      </w:pPr>
      <w:r>
        <w:rPr>
          <w:rFonts w:eastAsia="Arial Unicode MS"/>
        </w:rPr>
        <w:t>20</w:t>
      </w:r>
      <w:r>
        <w:rPr>
          <w:rFonts w:eastAsia="Arial Unicode MS"/>
        </w:rPr>
        <w:t xml:space="preserve">. Termoizoliaciniai gaminiai turi būti priglausti prie pagrindo prispaudžiant Sistemos karkaso elementais arba pritvirtinant papildomais tvirtinimo elementais – smeigėmis pagal </w:t>
      </w:r>
      <w:r>
        <w:rPr>
          <w:rFonts w:eastAsia="Arial Unicode MS"/>
        </w:rPr>
        <w:t>termoizoliacinės medžiagos gamintojo nurodymus. Termoizoliacinis sluoksnis turi būti vientisas, be plyšių ir įspaudimų. Montavimo metu susidarę termoizoliacinio sluoksnio vientisumo pažeidimai turi būti užtaisyti ta pačia medžiaga, kuri naudojama termoizol</w:t>
      </w:r>
      <w:r>
        <w:rPr>
          <w:rFonts w:eastAsia="Arial Unicode MS"/>
        </w:rPr>
        <w:t>iacinio sluoksnio įrengimui.</w:t>
      </w:r>
    </w:p>
    <w:p w14:paraId="47E6FD98" w14:textId="77777777" w:rsidR="007E1642" w:rsidRDefault="00A17B39">
      <w:pPr>
        <w:widowControl w:val="0"/>
        <w:suppressAutoHyphens/>
        <w:ind w:firstLine="567"/>
        <w:jc w:val="both"/>
        <w:rPr>
          <w:rFonts w:eastAsia="Arial Unicode MS" w:cs="Tahoma"/>
        </w:rPr>
      </w:pPr>
      <w:r>
        <w:rPr>
          <w:rFonts w:eastAsia="Arial Unicode MS"/>
        </w:rPr>
        <w:t>21</w:t>
      </w:r>
      <w:r>
        <w:rPr>
          <w:rFonts w:eastAsia="Arial Unicode MS"/>
        </w:rPr>
        <w:t xml:space="preserve">. </w:t>
      </w:r>
      <w:r>
        <w:rPr>
          <w:rFonts w:eastAsia="Arial Unicode MS" w:cs="Tahoma"/>
        </w:rPr>
        <w:t xml:space="preserve">Atitvarų su Sistemomis šilumos perdavimo koeficientas turi atitikti </w:t>
      </w:r>
      <w:r>
        <w:rPr>
          <w:rFonts w:eastAsia="Arial Unicode MS"/>
        </w:rPr>
        <w:t xml:space="preserve">STR 2.05.01:2005 „Pastatų atitvarų šiluminė technika“ </w:t>
      </w:r>
      <w:r>
        <w:rPr>
          <w:rFonts w:eastAsia="Arial Unicode MS" w:cs="Tahoma"/>
          <w:bCs/>
        </w:rPr>
        <w:t>[7.4]</w:t>
      </w:r>
      <w:r>
        <w:rPr>
          <w:rFonts w:eastAsia="Arial Unicode MS" w:cs="Tahoma"/>
        </w:rPr>
        <w:t xml:space="preserve"> reikalavimus.</w:t>
      </w:r>
    </w:p>
    <w:p w14:paraId="47E6FD99" w14:textId="77777777" w:rsidR="007E1642" w:rsidRDefault="00A17B39">
      <w:pPr>
        <w:widowControl w:val="0"/>
        <w:suppressAutoHyphens/>
        <w:ind w:firstLine="567"/>
        <w:jc w:val="both"/>
        <w:rPr>
          <w:rFonts w:eastAsia="Arial Unicode MS" w:cs="Tahoma"/>
        </w:rPr>
      </w:pPr>
      <w:r>
        <w:rPr>
          <w:rFonts w:eastAsia="Arial Unicode MS" w:cs="Tahoma"/>
        </w:rPr>
        <w:t>22</w:t>
      </w:r>
      <w:r>
        <w:rPr>
          <w:rFonts w:eastAsia="Arial Unicode MS" w:cs="Tahoma"/>
        </w:rPr>
        <w:t>. Termoizoliacinio sluoksnio šiluminės varžos apskaičiavimui naudojamos</w:t>
      </w:r>
      <w:r>
        <w:rPr>
          <w:rFonts w:eastAsia="Arial Unicode MS" w:cs="Tahoma"/>
        </w:rPr>
        <w:t xml:space="preserve"> projektinės termoizoliacinių gaminių šilumos laidumo koeficiento vertės, apskaičiuojamos pagal</w:t>
      </w:r>
      <w:r>
        <w:rPr>
          <w:rFonts w:eastAsia="Arial Unicode MS"/>
        </w:rPr>
        <w:t xml:space="preserve"> STR 2.01.03:2009 „Statybinių medžiagų ir gaminių šiluminių techninių dydžių projektinės vertės“ </w:t>
      </w:r>
      <w:r>
        <w:rPr>
          <w:rFonts w:eastAsia="Arial Unicode MS" w:cs="Tahoma"/>
          <w:bCs/>
        </w:rPr>
        <w:t>[7.6]</w:t>
      </w:r>
      <w:r>
        <w:rPr>
          <w:rFonts w:eastAsia="Arial Unicode MS" w:cs="Tahoma"/>
        </w:rPr>
        <w:t xml:space="preserve"> 11, 12 ir 13 punktų reikalavimus.</w:t>
      </w:r>
    </w:p>
    <w:p w14:paraId="47E6FD9A" w14:textId="77777777" w:rsidR="007E1642" w:rsidRDefault="00A17B39">
      <w:pPr>
        <w:ind w:firstLine="567"/>
        <w:jc w:val="both"/>
      </w:pPr>
      <w:r>
        <w:t>23</w:t>
      </w:r>
      <w:r>
        <w:t xml:space="preserve">. Termoizoliacinį </w:t>
      </w:r>
      <w:r>
        <w:t xml:space="preserve">sluoksnį kertančių Sistemos karkaso elementų (ilginiai ir taškiniai tvirtinimo ir Sistemos karkaso elementai) įtaka sluoksnio šilumos perdavimui turi būti įvertinta bent vienu iš šių būdų: </w:t>
      </w:r>
    </w:p>
    <w:p w14:paraId="47E6FD9B" w14:textId="77777777" w:rsidR="007E1642" w:rsidRDefault="00A17B39">
      <w:pPr>
        <w:ind w:firstLine="567"/>
        <w:jc w:val="both"/>
      </w:pPr>
      <w:r>
        <w:t>23.1</w:t>
      </w:r>
      <w:r>
        <w:t xml:space="preserve">. perskaičiuojant šio sluoksnio šiluminę varžą </w:t>
      </w:r>
      <w:r>
        <w:rPr>
          <w:i/>
        </w:rPr>
        <w:t>R</w:t>
      </w:r>
      <w:r>
        <w:t xml:space="preserve"> pagal STR 2</w:t>
      </w:r>
      <w:r>
        <w:t xml:space="preserve">.05.01:2005 „Pastatų atitvarų šiluminė technika“ </w:t>
      </w:r>
      <w:r>
        <w:rPr>
          <w:bCs/>
        </w:rPr>
        <w:t>[7.4]</w:t>
      </w:r>
      <w:r>
        <w:t xml:space="preserve"> reikalavimus;</w:t>
      </w:r>
    </w:p>
    <w:p w14:paraId="47E6FD9C" w14:textId="77777777" w:rsidR="007E1642" w:rsidRDefault="00A17B39">
      <w:pPr>
        <w:ind w:firstLine="567"/>
        <w:jc w:val="both"/>
      </w:pPr>
      <w:r>
        <w:t>23.2</w:t>
      </w:r>
      <w:r>
        <w:t xml:space="preserve">. apskaičiuojant Sistemos karkaso elementų sudaromų ilginių ir taškinių šiluminių tiltelių šilumos perdavimo koeficientus pagal standartą LST EN ISO 10211:2008 </w:t>
      </w:r>
      <w:r>
        <w:rPr>
          <w:bCs/>
        </w:rPr>
        <w:t>[7.8]</w:t>
      </w:r>
      <w:r>
        <w:t>;</w:t>
      </w:r>
    </w:p>
    <w:p w14:paraId="47E6FD9D" w14:textId="77777777" w:rsidR="007E1642" w:rsidRDefault="00A17B39">
      <w:pPr>
        <w:ind w:firstLine="567"/>
        <w:jc w:val="both"/>
      </w:pPr>
      <w:r>
        <w:t>23.3</w:t>
      </w:r>
      <w:r>
        <w:t>. at</w:t>
      </w:r>
      <w:r>
        <w:t xml:space="preserve">liekant </w:t>
      </w:r>
      <w:proofErr w:type="spellStart"/>
      <w:r>
        <w:t>atitvaros</w:t>
      </w:r>
      <w:proofErr w:type="spellEnd"/>
      <w:r>
        <w:t xml:space="preserve"> šilumos perdavimo koeficiento matavimus pagal standartą LST EN ISO 8990 </w:t>
      </w:r>
      <w:r>
        <w:rPr>
          <w:bCs/>
        </w:rPr>
        <w:t>[7.9].</w:t>
      </w:r>
    </w:p>
    <w:p w14:paraId="47E6FD9E" w14:textId="77777777" w:rsidR="007E1642" w:rsidRDefault="00A17B39">
      <w:pPr>
        <w:widowControl w:val="0"/>
        <w:suppressAutoHyphens/>
        <w:ind w:firstLine="567"/>
        <w:jc w:val="both"/>
        <w:rPr>
          <w:rFonts w:eastAsia="Arial Unicode MS" w:cs="Tahoma"/>
          <w:sz w:val="20"/>
        </w:rPr>
      </w:pPr>
    </w:p>
    <w:p w14:paraId="47E6FD9F" w14:textId="77777777" w:rsidR="007E1642" w:rsidRDefault="00A17B39">
      <w:pPr>
        <w:widowControl w:val="0"/>
        <w:suppressAutoHyphens/>
        <w:jc w:val="center"/>
        <w:rPr>
          <w:rFonts w:eastAsia="Arial Unicode MS"/>
          <w:b/>
        </w:rPr>
      </w:pPr>
      <w:r>
        <w:rPr>
          <w:rFonts w:eastAsia="Arial Unicode MS"/>
          <w:b/>
        </w:rPr>
        <w:t>IX</w:t>
      </w:r>
      <w:r>
        <w:rPr>
          <w:rFonts w:eastAsia="Arial Unicode MS"/>
          <w:b/>
        </w:rPr>
        <w:t xml:space="preserve">. </w:t>
      </w:r>
      <w:r>
        <w:rPr>
          <w:rFonts w:eastAsia="Arial Unicode MS"/>
          <w:b/>
        </w:rPr>
        <w:t>REIKALAVIMAI VĖJO IZOLIACIJOS ĮRENGIMUI</w:t>
      </w:r>
    </w:p>
    <w:p w14:paraId="47E6FDA0" w14:textId="77777777" w:rsidR="007E1642" w:rsidRDefault="007E1642">
      <w:pPr>
        <w:widowControl w:val="0"/>
        <w:suppressAutoHyphens/>
        <w:ind w:firstLine="634"/>
        <w:jc w:val="both"/>
        <w:rPr>
          <w:rFonts w:eastAsia="Arial Unicode MS"/>
        </w:rPr>
      </w:pPr>
    </w:p>
    <w:p w14:paraId="47E6FDA1" w14:textId="77777777" w:rsidR="007E1642" w:rsidRDefault="00A17B39">
      <w:pPr>
        <w:widowControl w:val="0"/>
        <w:suppressAutoHyphens/>
        <w:ind w:firstLine="567"/>
        <w:jc w:val="both"/>
        <w:rPr>
          <w:rFonts w:eastAsia="Arial Unicode MS"/>
          <w:b/>
          <w:bCs/>
        </w:rPr>
      </w:pPr>
      <w:r>
        <w:rPr>
          <w:rFonts w:eastAsia="Arial Unicode MS"/>
        </w:rPr>
        <w:t>24</w:t>
      </w:r>
      <w:r>
        <w:rPr>
          <w:rFonts w:eastAsia="Arial Unicode MS"/>
        </w:rPr>
        <w:t xml:space="preserve">. Termoizoliacinio sluoksnio apsaugai nuo oro tarpe judančio oro poveikio įrengiamas vėjo izoliacinis sluoksnis pagal STR 2.01.03:2009 „Statybinių medžiagų ir gaminių šiluminių techninių dydžių projektinės vertės“ </w:t>
      </w:r>
      <w:r>
        <w:rPr>
          <w:rFonts w:eastAsia="Arial Unicode MS" w:cs="Tahoma"/>
          <w:bCs/>
        </w:rPr>
        <w:t>[7.6]</w:t>
      </w:r>
      <w:r>
        <w:rPr>
          <w:rFonts w:eastAsia="Arial Unicode MS" w:cs="Tahoma"/>
        </w:rPr>
        <w:t xml:space="preserve"> </w:t>
      </w:r>
      <w:r>
        <w:rPr>
          <w:rFonts w:eastAsia="Arial Unicode MS"/>
          <w:bCs/>
        </w:rPr>
        <w:t xml:space="preserve">5 ir 6 lentelės reikalavimus. </w:t>
      </w:r>
      <w:r>
        <w:rPr>
          <w:rFonts w:eastAsia="Arial Unicode MS" w:cs="Tahoma"/>
        </w:rPr>
        <w:t>Vėjo i</w:t>
      </w:r>
      <w:r>
        <w:rPr>
          <w:rFonts w:eastAsia="Arial Unicode MS" w:cs="Tahoma"/>
        </w:rPr>
        <w:t>zoliacinis sluoksnis gali būti nenaudojamas, kai termoizoliacinė medžiaga ir jos montavimo būdas atitinka statybos techninio reglamento STR 2.01.03:2009 [7.6] 5 ir 6 lentelėse nurodytus reikalavimus.</w:t>
      </w:r>
    </w:p>
    <w:p w14:paraId="47E6FDA2" w14:textId="77777777" w:rsidR="007E1642" w:rsidRDefault="00A17B39">
      <w:pPr>
        <w:widowControl w:val="0"/>
        <w:suppressAutoHyphens/>
        <w:ind w:firstLine="567"/>
        <w:jc w:val="both"/>
        <w:rPr>
          <w:rFonts w:eastAsia="Arial Unicode MS" w:cs="Tahoma"/>
        </w:rPr>
      </w:pPr>
      <w:r>
        <w:rPr>
          <w:rFonts w:eastAsia="Arial Unicode MS"/>
          <w:bCs/>
        </w:rPr>
        <w:t>25</w:t>
      </w:r>
      <w:r>
        <w:rPr>
          <w:rFonts w:eastAsia="Arial Unicode MS"/>
          <w:bCs/>
        </w:rPr>
        <w:t>.</w:t>
      </w:r>
      <w:r>
        <w:rPr>
          <w:rFonts w:eastAsia="Arial Unicode MS"/>
          <w:b/>
          <w:bCs/>
        </w:rPr>
        <w:t xml:space="preserve"> </w:t>
      </w:r>
      <w:r>
        <w:rPr>
          <w:rFonts w:eastAsia="Arial Unicode MS"/>
          <w:bCs/>
        </w:rPr>
        <w:t>Vėjo izoliacinis sluoksnis</w:t>
      </w:r>
      <w:r>
        <w:rPr>
          <w:rFonts w:eastAsia="Arial Unicode MS" w:cs="Tahoma"/>
        </w:rPr>
        <w:t xml:space="preserve"> turi užtikrinti pakan</w:t>
      </w:r>
      <w:r>
        <w:rPr>
          <w:rFonts w:eastAsia="Arial Unicode MS" w:cs="Tahoma"/>
        </w:rPr>
        <w:t xml:space="preserve">kamą vandens garų pralaidumą, kad nebūtų drėgmės kaupimosi </w:t>
      </w:r>
      <w:proofErr w:type="spellStart"/>
      <w:r>
        <w:rPr>
          <w:rFonts w:eastAsia="Arial Unicode MS" w:cs="Tahoma"/>
        </w:rPr>
        <w:t>atitvaroje</w:t>
      </w:r>
      <w:proofErr w:type="spellEnd"/>
      <w:r>
        <w:rPr>
          <w:rFonts w:eastAsia="Arial Unicode MS" w:cs="Tahoma"/>
        </w:rPr>
        <w:t xml:space="preserve">. Atitvarų su Sistemomis </w:t>
      </w:r>
      <w:proofErr w:type="spellStart"/>
      <w:r>
        <w:rPr>
          <w:rFonts w:eastAsia="Arial Unicode MS" w:cs="Tahoma"/>
        </w:rPr>
        <w:t>drėgminė</w:t>
      </w:r>
      <w:proofErr w:type="spellEnd"/>
      <w:r>
        <w:rPr>
          <w:rFonts w:eastAsia="Arial Unicode MS" w:cs="Tahoma"/>
        </w:rPr>
        <w:t xml:space="preserve"> būklė turi atitikti </w:t>
      </w:r>
      <w:r>
        <w:rPr>
          <w:rFonts w:eastAsia="Arial Unicode MS"/>
        </w:rPr>
        <w:t xml:space="preserve">STR 2.05.01:2005 „Pastatų atitvarų šiluminė technika“ </w:t>
      </w:r>
      <w:r>
        <w:rPr>
          <w:rFonts w:eastAsia="Arial Unicode MS" w:cs="Tahoma"/>
          <w:bCs/>
        </w:rPr>
        <w:t>[7.4]</w:t>
      </w:r>
      <w:r>
        <w:rPr>
          <w:rFonts w:eastAsia="Arial Unicode MS" w:cs="Tahoma"/>
        </w:rPr>
        <w:t xml:space="preserve"> reikalavimus.</w:t>
      </w:r>
    </w:p>
    <w:p w14:paraId="47E6FDA3" w14:textId="77777777" w:rsidR="007E1642" w:rsidRDefault="00A17B39">
      <w:pPr>
        <w:widowControl w:val="0"/>
        <w:suppressAutoHyphens/>
        <w:ind w:firstLine="567"/>
        <w:jc w:val="both"/>
        <w:rPr>
          <w:rFonts w:eastAsia="Arial Unicode MS"/>
          <w:sz w:val="20"/>
        </w:rPr>
      </w:pPr>
    </w:p>
    <w:p w14:paraId="47E6FDA4" w14:textId="77777777" w:rsidR="007E1642" w:rsidRDefault="00A17B39">
      <w:pPr>
        <w:widowControl w:val="0"/>
        <w:suppressAutoHyphens/>
        <w:jc w:val="center"/>
        <w:rPr>
          <w:rFonts w:eastAsia="Arial Unicode MS"/>
        </w:rPr>
      </w:pPr>
      <w:r>
        <w:rPr>
          <w:rFonts w:eastAsia="Arial Unicode MS"/>
          <w:b/>
        </w:rPr>
        <w:t>X</w:t>
      </w:r>
      <w:r>
        <w:rPr>
          <w:rFonts w:eastAsia="Arial Unicode MS"/>
          <w:b/>
        </w:rPr>
        <w:t xml:space="preserve">. </w:t>
      </w:r>
      <w:r>
        <w:rPr>
          <w:rFonts w:eastAsia="Arial Unicode MS"/>
          <w:b/>
        </w:rPr>
        <w:t>REIKALAVIMAI VĖDINAMO ORO TARPO ĮRENGIMUI</w:t>
      </w:r>
    </w:p>
    <w:p w14:paraId="47E6FDA5" w14:textId="77777777" w:rsidR="007E1642" w:rsidRDefault="007E1642">
      <w:pPr>
        <w:widowControl w:val="0"/>
        <w:suppressAutoHyphens/>
        <w:ind w:firstLine="567"/>
        <w:jc w:val="both"/>
        <w:rPr>
          <w:rFonts w:eastAsia="Arial Unicode MS"/>
        </w:rPr>
      </w:pPr>
    </w:p>
    <w:p w14:paraId="47E6FDA6" w14:textId="77777777" w:rsidR="007E1642" w:rsidRDefault="00A17B39">
      <w:pPr>
        <w:widowControl w:val="0"/>
        <w:suppressAutoHyphens/>
        <w:ind w:firstLine="567"/>
        <w:jc w:val="both"/>
        <w:rPr>
          <w:rFonts w:eastAsia="Arial Unicode MS"/>
        </w:rPr>
      </w:pPr>
      <w:r>
        <w:rPr>
          <w:rFonts w:eastAsia="Arial Unicode MS"/>
        </w:rPr>
        <w:t>26</w:t>
      </w:r>
      <w:r>
        <w:rPr>
          <w:rFonts w:eastAsia="Arial Unicode MS"/>
        </w:rPr>
        <w:t>. Vėdinamo oro tarpo storis turi atitikti Sistemos gamintojo nurodymus, tačiau negali būti mažesnis už 25 mm. Vėdinamų angų plotas turi atitikti Sistemos gamintojo nurodymus, tačiau negali būti mažesnis už 50 cm</w:t>
      </w:r>
      <w:r>
        <w:rPr>
          <w:rFonts w:eastAsia="Arial Unicode MS"/>
          <w:vertAlign w:val="superscript"/>
        </w:rPr>
        <w:t>2</w:t>
      </w:r>
      <w:r>
        <w:rPr>
          <w:rFonts w:eastAsia="Arial Unicode MS"/>
        </w:rPr>
        <w:t xml:space="preserve"> vienam sienos ilgio metrui. </w:t>
      </w:r>
      <w:r>
        <w:rPr>
          <w:rFonts w:eastAsia="Arial Unicode MS" w:cs="Tahoma"/>
        </w:rPr>
        <w:t xml:space="preserve">Vėdinimo angos </w:t>
      </w:r>
      <w:r>
        <w:rPr>
          <w:rFonts w:eastAsia="Arial Unicode MS" w:cs="Tahoma"/>
        </w:rPr>
        <w:t>turi būti įrengtos viršutinėje ir apatinėje konstrukcijos dalyje.</w:t>
      </w:r>
    </w:p>
    <w:p w14:paraId="47E6FDA7" w14:textId="77777777" w:rsidR="007E1642" w:rsidRDefault="00A17B39">
      <w:pPr>
        <w:widowControl w:val="0"/>
        <w:suppressAutoHyphens/>
        <w:ind w:firstLine="567"/>
        <w:jc w:val="both"/>
        <w:rPr>
          <w:rFonts w:eastAsia="Arial Unicode MS"/>
        </w:rPr>
      </w:pPr>
      <w:r>
        <w:rPr>
          <w:rFonts w:eastAsia="Arial Unicode MS"/>
        </w:rPr>
        <w:t>27</w:t>
      </w:r>
      <w:r>
        <w:rPr>
          <w:rFonts w:eastAsia="Arial Unicode MS"/>
        </w:rPr>
        <w:t xml:space="preserve">. Drenažinės angos Sistemoje turi būti įrengtos taip, kad į vėdinamą oro tarpą iš išorės patekęs arba kondensacinis vanduo nepatektų į termoizoliacinį ir kitus konstrukcijos </w:t>
      </w:r>
      <w:r>
        <w:rPr>
          <w:rFonts w:eastAsia="Arial Unicode MS"/>
        </w:rPr>
        <w:lastRenderedPageBreak/>
        <w:t>sluoksnius</w:t>
      </w:r>
      <w:r>
        <w:rPr>
          <w:rFonts w:eastAsia="Arial Unicode MS"/>
        </w:rPr>
        <w:t xml:space="preserve"> ir galėtų laisvai pasišalinti iš konstrukcijos.</w:t>
      </w:r>
    </w:p>
    <w:p w14:paraId="47E6FDA8" w14:textId="77777777" w:rsidR="007E1642" w:rsidRDefault="00A17B39">
      <w:pPr>
        <w:widowControl w:val="0"/>
        <w:suppressAutoHyphens/>
        <w:ind w:firstLine="567"/>
        <w:jc w:val="both"/>
        <w:rPr>
          <w:rFonts w:eastAsia="Arial Unicode MS"/>
          <w:sz w:val="20"/>
        </w:rPr>
      </w:pPr>
    </w:p>
    <w:p w14:paraId="47E6FDA9" w14:textId="77777777" w:rsidR="007E1642" w:rsidRDefault="00A17B39">
      <w:pPr>
        <w:widowControl w:val="0"/>
        <w:suppressAutoHyphens/>
        <w:jc w:val="center"/>
        <w:rPr>
          <w:rFonts w:eastAsia="Arial Unicode MS"/>
          <w:b/>
        </w:rPr>
      </w:pPr>
      <w:r>
        <w:rPr>
          <w:rFonts w:eastAsia="Arial Unicode MS"/>
          <w:b/>
        </w:rPr>
        <w:t>XI</w:t>
      </w:r>
      <w:r>
        <w:rPr>
          <w:rFonts w:eastAsia="Arial Unicode MS"/>
          <w:b/>
        </w:rPr>
        <w:t xml:space="preserve">. </w:t>
      </w:r>
      <w:r>
        <w:rPr>
          <w:rFonts w:eastAsia="Arial Unicode MS"/>
          <w:b/>
        </w:rPr>
        <w:t>BENDRIEJI REIKALAVIMAI SISTEMOMS IR JAS SUDARANČIOMS MEDŽIAGOMS</w:t>
      </w:r>
    </w:p>
    <w:p w14:paraId="47E6FDAA" w14:textId="77777777" w:rsidR="007E1642" w:rsidRDefault="007E1642">
      <w:pPr>
        <w:widowControl w:val="0"/>
        <w:suppressAutoHyphens/>
        <w:ind w:firstLine="567"/>
        <w:jc w:val="both"/>
        <w:rPr>
          <w:rFonts w:eastAsia="Arial Unicode MS"/>
          <w:b/>
        </w:rPr>
      </w:pPr>
    </w:p>
    <w:p w14:paraId="47E6FDAB" w14:textId="77777777" w:rsidR="007E1642" w:rsidRDefault="00A17B39">
      <w:pPr>
        <w:widowControl w:val="0"/>
        <w:suppressAutoHyphens/>
        <w:ind w:firstLine="567"/>
        <w:jc w:val="both"/>
        <w:rPr>
          <w:rFonts w:eastAsia="Arial Unicode MS"/>
        </w:rPr>
      </w:pPr>
      <w:r>
        <w:rPr>
          <w:rFonts w:eastAsia="Arial Unicode MS"/>
        </w:rPr>
        <w:t>28</w:t>
      </w:r>
      <w:r>
        <w:rPr>
          <w:rFonts w:eastAsia="Arial Unicode MS"/>
        </w:rPr>
        <w:t>. Visi Sistemoms įrengti naudojami elementai, atsižvelgiant į juos sudarančias medžiagas, turi būti natūraliai atsparūs koroz</w:t>
      </w:r>
      <w:r>
        <w:rPr>
          <w:rFonts w:eastAsia="Arial Unicode MS"/>
        </w:rPr>
        <w:t>ijai, drėgmei, pelėsiams ir ultravioletinei spinduliuotei arba jie turi būti prieš naudojimą atitinkamai apsaugoti. Sistemos elementų atsparumas nurodytiems poveikiams turi būti pagrįstas bandymais pagal tų gaminių standartų reikalavimus.</w:t>
      </w:r>
    </w:p>
    <w:p w14:paraId="47E6FDAC" w14:textId="77777777" w:rsidR="007E1642" w:rsidRDefault="00A17B39">
      <w:pPr>
        <w:widowControl w:val="0"/>
        <w:suppressAutoHyphens/>
        <w:ind w:firstLine="567"/>
        <w:jc w:val="both"/>
        <w:rPr>
          <w:rFonts w:eastAsia="Arial Unicode MS"/>
        </w:rPr>
      </w:pPr>
      <w:r>
        <w:rPr>
          <w:rFonts w:eastAsia="Arial Unicode MS"/>
        </w:rPr>
        <w:t>29</w:t>
      </w:r>
      <w:r>
        <w:rPr>
          <w:rFonts w:eastAsia="Arial Unicode MS"/>
        </w:rPr>
        <w:t xml:space="preserve">. Sistemos </w:t>
      </w:r>
      <w:r>
        <w:rPr>
          <w:rFonts w:eastAsia="Arial Unicode MS"/>
        </w:rPr>
        <w:t>karkaso, mechaninio tvirtinimo ir apdailos metaliniai elementai turi būti parinkti taip, kad juos sujungus tarpusavyje nesusidarytų sąlygos elektrocheminei korozijai.</w:t>
      </w:r>
    </w:p>
    <w:p w14:paraId="47E6FDAD" w14:textId="77777777" w:rsidR="007E1642" w:rsidRDefault="00A17B39">
      <w:pPr>
        <w:widowControl w:val="0"/>
        <w:suppressAutoHyphens/>
        <w:ind w:firstLine="567"/>
        <w:jc w:val="both"/>
        <w:rPr>
          <w:rFonts w:eastAsia="Arial Unicode MS"/>
        </w:rPr>
      </w:pPr>
      <w:r>
        <w:rPr>
          <w:rFonts w:eastAsia="Arial Unicode MS"/>
        </w:rPr>
        <w:t>30</w:t>
      </w:r>
      <w:r>
        <w:rPr>
          <w:rFonts w:eastAsia="Arial Unicode MS"/>
        </w:rPr>
        <w:t xml:space="preserve">. Apdailos elementų </w:t>
      </w:r>
      <w:r>
        <w:rPr>
          <w:rFonts w:eastAsia="Arial Unicode MS" w:cs="Tahoma"/>
        </w:rPr>
        <w:t xml:space="preserve">atsparumas šalčiui turi būti ne </w:t>
      </w:r>
      <w:r>
        <w:rPr>
          <w:rFonts w:eastAsia="Arial Unicode MS"/>
        </w:rPr>
        <w:t>mažesnis</w:t>
      </w:r>
      <w:r>
        <w:rPr>
          <w:rFonts w:eastAsia="Arial Unicode MS" w:cs="Tahoma"/>
        </w:rPr>
        <w:t xml:space="preserve"> už nurodytą atitinkamų</w:t>
      </w:r>
      <w:r>
        <w:rPr>
          <w:rFonts w:eastAsia="Arial Unicode MS" w:cs="Tahoma"/>
        </w:rPr>
        <w:t xml:space="preserve"> gaminių darniuosiuose standartuose ir ne mažesnis</w:t>
      </w:r>
      <w:r>
        <w:rPr>
          <w:rFonts w:eastAsia="Arial Unicode MS"/>
        </w:rPr>
        <w:t xml:space="preserve"> už </w:t>
      </w:r>
      <w:r>
        <w:rPr>
          <w:rFonts w:eastAsia="Arial Unicode MS" w:cs="Tahoma"/>
        </w:rPr>
        <w:t>1</w:t>
      </w:r>
      <w:r>
        <w:rPr>
          <w:rFonts w:eastAsia="Arial Unicode MS"/>
        </w:rPr>
        <w:t>00 tūrinio šaldymo ciklų.</w:t>
      </w:r>
    </w:p>
    <w:p w14:paraId="47E6FDAE" w14:textId="77777777" w:rsidR="007E1642" w:rsidRDefault="00A17B39">
      <w:pPr>
        <w:widowControl w:val="0"/>
        <w:suppressAutoHyphens/>
        <w:ind w:firstLine="567"/>
        <w:jc w:val="both"/>
        <w:rPr>
          <w:rFonts w:eastAsia="Arial Unicode MS"/>
        </w:rPr>
      </w:pPr>
      <w:r>
        <w:rPr>
          <w:rFonts w:eastAsia="Arial Unicode MS"/>
        </w:rPr>
        <w:t>31</w:t>
      </w:r>
      <w:r>
        <w:rPr>
          <w:rFonts w:eastAsia="Arial Unicode MS"/>
        </w:rPr>
        <w:t>. Sistema turi išlikti saugi – negali būti negrįžtamai deformuoti jokie Sistemos elementai, kai vieną minutę Sistemos išorinis paviršius veikiamas 500 N jėga dviem kvadr</w:t>
      </w:r>
      <w:r>
        <w:rPr>
          <w:rFonts w:eastAsia="Arial Unicode MS"/>
        </w:rPr>
        <w:t xml:space="preserve">atinėmis 25 mm x 25 mm matmenų 5 mm storio metalinėmis plokštėmis statmena Sistemos paviršiui kryptimi. </w:t>
      </w:r>
      <w:r>
        <w:rPr>
          <w:rFonts w:eastAsia="Arial Unicode MS" w:cs="Tahoma"/>
        </w:rPr>
        <w:t>Kai tiekiama gamintojo sukomplektuota Sistema, šį reikalavimą užtikrina Sistemos tiekėjas konstrukciniais skaičiavimais arba bandymais. Kai Sistema proj</w:t>
      </w:r>
      <w:r>
        <w:rPr>
          <w:rFonts w:eastAsia="Arial Unicode MS" w:cs="Tahoma"/>
        </w:rPr>
        <w:t>ektuojama naudojant gamyklinių statybos produktų rinkinį, šį reikalavimą užtikrina projektuotojas, parinkdamas tinkamus Sistemos elementus ir skaičiavimais pagrįsdamas Sistemos karkaso patvarumą.</w:t>
      </w:r>
    </w:p>
    <w:p w14:paraId="47E6FDAF" w14:textId="77777777" w:rsidR="007E1642" w:rsidRDefault="00A17B39">
      <w:pPr>
        <w:widowControl w:val="0"/>
        <w:suppressAutoHyphens/>
        <w:ind w:firstLine="567"/>
        <w:jc w:val="both"/>
        <w:rPr>
          <w:rFonts w:eastAsia="Arial Unicode MS"/>
        </w:rPr>
      </w:pPr>
      <w:r>
        <w:rPr>
          <w:rFonts w:eastAsia="Arial Unicode MS"/>
        </w:rPr>
        <w:t>32</w:t>
      </w:r>
      <w:r>
        <w:rPr>
          <w:rFonts w:eastAsia="Arial Unicode MS"/>
        </w:rPr>
        <w:t xml:space="preserve">. Kai ant Sistemos paviršiaus įrengiami papildomi elementai, jų sukeliama apkrova turi būti perduodama tiesiogiai pagrindui per prie pagrindo pritvirtintus papildomus laikiklius. </w:t>
      </w:r>
    </w:p>
    <w:p w14:paraId="47E6FDB0" w14:textId="77777777" w:rsidR="007E1642" w:rsidRDefault="00A17B39">
      <w:pPr>
        <w:widowControl w:val="0"/>
        <w:suppressAutoHyphens/>
        <w:ind w:firstLine="567"/>
        <w:jc w:val="both"/>
        <w:rPr>
          <w:rFonts w:eastAsia="Arial Unicode MS"/>
        </w:rPr>
      </w:pPr>
      <w:r>
        <w:rPr>
          <w:rFonts w:eastAsia="Arial Unicode MS"/>
        </w:rPr>
        <w:t>33</w:t>
      </w:r>
      <w:r>
        <w:rPr>
          <w:rFonts w:eastAsia="Arial Unicode MS"/>
        </w:rPr>
        <w:t>. Sistemos apdailos elementų išorėje negali būti aštrių briaunų. Apdai</w:t>
      </w:r>
      <w:r>
        <w:rPr>
          <w:rFonts w:eastAsia="Arial Unicode MS"/>
        </w:rPr>
        <w:t>los elementų paviršius negali sukelti pastate arba šalia esančių žmonių sužeidimo rizikos.</w:t>
      </w:r>
    </w:p>
    <w:p w14:paraId="47E6FDB1" w14:textId="77777777" w:rsidR="007E1642" w:rsidRDefault="00A17B39">
      <w:pPr>
        <w:widowControl w:val="0"/>
        <w:suppressAutoHyphens/>
        <w:ind w:firstLine="567"/>
        <w:jc w:val="both"/>
        <w:rPr>
          <w:rFonts w:eastAsia="Arial Unicode MS"/>
        </w:rPr>
      </w:pPr>
    </w:p>
    <w:p w14:paraId="47E6FDB2" w14:textId="77777777" w:rsidR="007E1642" w:rsidRDefault="00A17B39">
      <w:pPr>
        <w:tabs>
          <w:tab w:val="left" w:pos="0"/>
          <w:tab w:val="left" w:pos="3119"/>
        </w:tabs>
        <w:jc w:val="center"/>
      </w:pPr>
      <w:r>
        <w:rPr>
          <w:b/>
        </w:rPr>
        <w:t>XII</w:t>
      </w:r>
      <w:r>
        <w:rPr>
          <w:b/>
        </w:rPr>
        <w:t xml:space="preserve">. </w:t>
      </w:r>
      <w:r>
        <w:rPr>
          <w:b/>
        </w:rPr>
        <w:t>REIKALAVIMAI GARSO IZOLIACIJAI</w:t>
      </w:r>
    </w:p>
    <w:p w14:paraId="47E6FDB3" w14:textId="77777777" w:rsidR="007E1642" w:rsidRDefault="007E1642">
      <w:pPr>
        <w:tabs>
          <w:tab w:val="left" w:pos="0"/>
          <w:tab w:val="left" w:pos="3119"/>
        </w:tabs>
        <w:ind w:firstLine="567"/>
        <w:jc w:val="both"/>
      </w:pPr>
    </w:p>
    <w:p w14:paraId="47E6FDB4" w14:textId="77777777" w:rsidR="007E1642" w:rsidRDefault="00A17B39">
      <w:pPr>
        <w:ind w:firstLine="567"/>
        <w:jc w:val="both"/>
        <w:rPr>
          <w:bCs/>
        </w:rPr>
      </w:pPr>
      <w:r>
        <w:t>34</w:t>
      </w:r>
      <w:r>
        <w:t xml:space="preserve">. Pastato sienos su Sistemomis garso izoliacijos rodiklis turi atitikti STR 2.01.07:2003 „Pastatų vidaus ir išorės </w:t>
      </w:r>
      <w:r>
        <w:t>aplinkos apsauga nuo triukšmo“</w:t>
      </w:r>
      <w:r>
        <w:rPr>
          <w:b/>
        </w:rPr>
        <w:t xml:space="preserve"> </w:t>
      </w:r>
      <w:r>
        <w:rPr>
          <w:bCs/>
        </w:rPr>
        <w:t>[7.7]</w:t>
      </w:r>
      <w:r>
        <w:t xml:space="preserve"> </w:t>
      </w:r>
      <w:r>
        <w:rPr>
          <w:bCs/>
        </w:rPr>
        <w:t>pateiktus apsaugos nuo pastatų išorėje sklindančio oro triukšmo reikalavimus.</w:t>
      </w:r>
    </w:p>
    <w:p w14:paraId="47E6FDB5" w14:textId="77777777" w:rsidR="007E1642" w:rsidRDefault="00A17B39">
      <w:pPr>
        <w:ind w:firstLine="567"/>
        <w:jc w:val="both"/>
        <w:rPr>
          <w:bCs/>
        </w:rPr>
      </w:pPr>
      <w:r>
        <w:rPr>
          <w:bCs/>
        </w:rPr>
        <w:t>35</w:t>
      </w:r>
      <w:r>
        <w:rPr>
          <w:bCs/>
        </w:rPr>
        <w:t xml:space="preserve">. </w:t>
      </w:r>
      <w:r>
        <w:t xml:space="preserve">Pastato sienos su Sistemomis garso izoliacijos rodiklis turi </w:t>
      </w:r>
      <w:r>
        <w:rPr>
          <w:bCs/>
        </w:rPr>
        <w:t>būti apskaičiuotas projektuojant pastatą pagal standartą LST EN 12354-3P</w:t>
      </w:r>
      <w:r>
        <w:rPr>
          <w:bCs/>
        </w:rPr>
        <w:t xml:space="preserve"> [7.12].</w:t>
      </w:r>
    </w:p>
    <w:p w14:paraId="47E6FDB6" w14:textId="77777777" w:rsidR="007E1642" w:rsidRDefault="00A17B39">
      <w:pPr>
        <w:widowControl w:val="0"/>
        <w:suppressAutoHyphens/>
        <w:ind w:firstLine="567"/>
        <w:jc w:val="both"/>
        <w:rPr>
          <w:rFonts w:eastAsia="Arial Unicode MS"/>
          <w:sz w:val="20"/>
        </w:rPr>
      </w:pPr>
    </w:p>
    <w:p w14:paraId="47E6FDB7" w14:textId="77777777" w:rsidR="007E1642" w:rsidRDefault="00A17B39">
      <w:pPr>
        <w:widowControl w:val="0"/>
        <w:suppressAutoHyphens/>
        <w:jc w:val="center"/>
        <w:rPr>
          <w:rFonts w:eastAsia="Arial Unicode MS"/>
          <w:b/>
          <w:bCs/>
        </w:rPr>
      </w:pPr>
      <w:r>
        <w:rPr>
          <w:rFonts w:eastAsia="Arial Unicode MS"/>
          <w:b/>
          <w:bCs/>
        </w:rPr>
        <w:t>XIII</w:t>
      </w:r>
      <w:r>
        <w:rPr>
          <w:rFonts w:eastAsia="Arial Unicode MS"/>
          <w:b/>
          <w:bCs/>
        </w:rPr>
        <w:t xml:space="preserve">. </w:t>
      </w:r>
      <w:r>
        <w:rPr>
          <w:rFonts w:eastAsia="Arial Unicode MS"/>
          <w:b/>
          <w:bCs/>
        </w:rPr>
        <w:t>REIKALAVIMAI SISTEMOS ATSPARUMUI SMŪGIAMS</w:t>
      </w:r>
    </w:p>
    <w:p w14:paraId="47E6FDB8" w14:textId="77777777" w:rsidR="007E1642" w:rsidRDefault="007E1642">
      <w:pPr>
        <w:widowControl w:val="0"/>
        <w:suppressAutoHyphens/>
        <w:ind w:firstLine="567"/>
        <w:jc w:val="both"/>
        <w:rPr>
          <w:rFonts w:eastAsia="Arial Unicode MS"/>
          <w:caps/>
        </w:rPr>
      </w:pPr>
    </w:p>
    <w:p w14:paraId="47E6FDB9" w14:textId="77777777" w:rsidR="007E1642" w:rsidRDefault="00A17B39">
      <w:pPr>
        <w:ind w:firstLine="567"/>
        <w:jc w:val="both"/>
      </w:pPr>
      <w:r>
        <w:rPr>
          <w:bCs/>
        </w:rPr>
        <w:t>36</w:t>
      </w:r>
      <w:r>
        <w:rPr>
          <w:bCs/>
        </w:rPr>
        <w:t>. Sistemos atsparumas smūgiams įvertinamas Sistemos naudojimo kategorija, kuri turi būti</w:t>
      </w:r>
      <w:r>
        <w:t xml:space="preserve"> parenkama projektavimo metu pagal 1 lentelėje pateiktas numatomas Sistemos naudojimo sąlygas ir </w:t>
      </w:r>
      <w:r>
        <w:t xml:space="preserve">1 pav. ir 2 pav. pateiktas Sistemos naudojimo kategorijos parinkimo pastato fasade ir pagal pastato aplinkos situaciją schemas. </w:t>
      </w:r>
    </w:p>
    <w:p w14:paraId="47E6FDBA" w14:textId="77777777" w:rsidR="007E1642" w:rsidRDefault="007E1642">
      <w:pPr>
        <w:ind w:firstLine="567"/>
        <w:jc w:val="both"/>
      </w:pPr>
    </w:p>
    <w:p w14:paraId="47E6FDBB" w14:textId="77777777" w:rsidR="007E1642" w:rsidRDefault="00A17B39">
      <w:pPr>
        <w:jc w:val="right"/>
      </w:pPr>
      <w:r>
        <w:t>1</w:t>
      </w:r>
      <w:r>
        <w:t xml:space="preserve"> lentelė</w:t>
      </w:r>
    </w:p>
    <w:p w14:paraId="47E6FDBC" w14:textId="77777777" w:rsidR="007E1642" w:rsidRDefault="007E1642"/>
    <w:p w14:paraId="47E6FDBD" w14:textId="77777777" w:rsidR="007E1642" w:rsidRDefault="00A17B39">
      <w:pPr>
        <w:keepNext/>
        <w:jc w:val="center"/>
        <w:outlineLvl w:val="2"/>
        <w:rPr>
          <w:b/>
        </w:rPr>
      </w:pPr>
      <w:r>
        <w:rPr>
          <w:b/>
        </w:rPr>
        <w:t>Sistemų atsparumo smūgiams kategorijos</w:t>
      </w:r>
    </w:p>
    <w:p w14:paraId="47E6FDBE" w14:textId="77777777" w:rsidR="007E1642" w:rsidRDefault="007E1642"/>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573"/>
        <w:gridCol w:w="7497"/>
      </w:tblGrid>
      <w:tr w:rsidR="007E1642" w14:paraId="47E6FDC1" w14:textId="77777777">
        <w:trPr>
          <w:trHeight w:val="20"/>
        </w:trPr>
        <w:tc>
          <w:tcPr>
            <w:tcW w:w="867" w:type="pct"/>
            <w:shd w:val="clear" w:color="auto" w:fill="FFFFFF"/>
          </w:tcPr>
          <w:p w14:paraId="47E6FDBF" w14:textId="77777777" w:rsidR="007E1642" w:rsidRDefault="00A17B39">
            <w:pPr>
              <w:shd w:val="clear" w:color="auto" w:fill="FFFFFF"/>
              <w:jc w:val="center"/>
            </w:pPr>
            <w:r>
              <w:t>Sistemos naudojimo kategorija</w:t>
            </w:r>
          </w:p>
        </w:tc>
        <w:tc>
          <w:tcPr>
            <w:tcW w:w="4133" w:type="pct"/>
            <w:shd w:val="clear" w:color="auto" w:fill="FFFFFF"/>
            <w:vAlign w:val="center"/>
          </w:tcPr>
          <w:p w14:paraId="47E6FDC0" w14:textId="77777777" w:rsidR="007E1642" w:rsidRDefault="00A17B39">
            <w:pPr>
              <w:shd w:val="clear" w:color="auto" w:fill="FFFFFF"/>
              <w:jc w:val="center"/>
            </w:pPr>
            <w:r>
              <w:t>Sistemų naudojimo sąlygų, susijusių su at</w:t>
            </w:r>
            <w:r>
              <w:t>sparumo smūgiams reikalavimais, apibūdinimas</w:t>
            </w:r>
          </w:p>
        </w:tc>
      </w:tr>
      <w:tr w:rsidR="007E1642" w14:paraId="47E6FDC4" w14:textId="77777777">
        <w:trPr>
          <w:trHeight w:val="20"/>
        </w:trPr>
        <w:tc>
          <w:tcPr>
            <w:tcW w:w="867" w:type="pct"/>
            <w:shd w:val="clear" w:color="auto" w:fill="FFFFFF"/>
            <w:vAlign w:val="center"/>
          </w:tcPr>
          <w:p w14:paraId="47E6FDC2" w14:textId="77777777" w:rsidR="007E1642" w:rsidRDefault="00A17B39">
            <w:pPr>
              <w:shd w:val="clear" w:color="auto" w:fill="FFFFFF"/>
              <w:jc w:val="center"/>
            </w:pPr>
            <w:r>
              <w:t xml:space="preserve">I </w:t>
            </w:r>
          </w:p>
        </w:tc>
        <w:tc>
          <w:tcPr>
            <w:tcW w:w="4133" w:type="pct"/>
            <w:shd w:val="clear" w:color="auto" w:fill="FFFFFF"/>
            <w:vAlign w:val="center"/>
          </w:tcPr>
          <w:p w14:paraId="47E6FDC3" w14:textId="77777777" w:rsidR="007E1642" w:rsidRDefault="00A17B39">
            <w:pPr>
              <w:shd w:val="clear" w:color="auto" w:fill="FFFFFF"/>
              <w:ind w:left="5" w:right="427" w:hanging="5"/>
            </w:pPr>
            <w:r>
              <w:t>Nuo žemės paviršiaus lengvai pasiekiamos atitvarų dalys, neapsaugotos nuo smūgių ir netinkamo naudojimo.</w:t>
            </w:r>
          </w:p>
        </w:tc>
      </w:tr>
      <w:tr w:rsidR="007E1642" w14:paraId="47E6FDC7" w14:textId="77777777">
        <w:trPr>
          <w:trHeight w:val="20"/>
        </w:trPr>
        <w:tc>
          <w:tcPr>
            <w:tcW w:w="867" w:type="pct"/>
            <w:shd w:val="clear" w:color="auto" w:fill="FFFFFF"/>
            <w:vAlign w:val="center"/>
          </w:tcPr>
          <w:p w14:paraId="47E6FDC5" w14:textId="77777777" w:rsidR="007E1642" w:rsidRDefault="00A17B39">
            <w:pPr>
              <w:shd w:val="clear" w:color="auto" w:fill="FFFFFF"/>
              <w:jc w:val="center"/>
            </w:pPr>
            <w:r>
              <w:t xml:space="preserve">II </w:t>
            </w:r>
          </w:p>
        </w:tc>
        <w:tc>
          <w:tcPr>
            <w:tcW w:w="4133" w:type="pct"/>
            <w:shd w:val="clear" w:color="auto" w:fill="FFFFFF"/>
            <w:vAlign w:val="center"/>
          </w:tcPr>
          <w:p w14:paraId="47E6FDC6" w14:textId="77777777" w:rsidR="007E1642" w:rsidRDefault="00A17B39">
            <w:pPr>
              <w:shd w:val="clear" w:color="auto" w:fill="FFFFFF"/>
              <w:ind w:left="5" w:right="187" w:hanging="5"/>
            </w:pPr>
            <w:r>
              <w:t xml:space="preserve">Spiriant arba metant daiktus pasiekiamos atitvarų dalys, kurių atstumas </w:t>
            </w:r>
            <w:r>
              <w:lastRenderedPageBreak/>
              <w:t>nuo žemės paviršiaus apriboja smūgio stiprumą, arba žemai esančios atitvarų dalys,  šalia kurių maža netinkamo naudojimo tikimybė.</w:t>
            </w:r>
          </w:p>
        </w:tc>
      </w:tr>
      <w:tr w:rsidR="007E1642" w14:paraId="47E6FDCA" w14:textId="77777777">
        <w:trPr>
          <w:trHeight w:val="20"/>
        </w:trPr>
        <w:tc>
          <w:tcPr>
            <w:tcW w:w="867" w:type="pct"/>
            <w:shd w:val="clear" w:color="auto" w:fill="FFFFFF"/>
            <w:vAlign w:val="center"/>
          </w:tcPr>
          <w:p w14:paraId="47E6FDC8" w14:textId="77777777" w:rsidR="007E1642" w:rsidRDefault="00A17B39">
            <w:pPr>
              <w:shd w:val="clear" w:color="auto" w:fill="FFFFFF"/>
              <w:jc w:val="center"/>
            </w:pPr>
            <w:r>
              <w:lastRenderedPageBreak/>
              <w:t xml:space="preserve">III </w:t>
            </w:r>
          </w:p>
        </w:tc>
        <w:tc>
          <w:tcPr>
            <w:tcW w:w="4133" w:type="pct"/>
            <w:shd w:val="clear" w:color="auto" w:fill="FFFFFF"/>
            <w:vAlign w:val="center"/>
          </w:tcPr>
          <w:p w14:paraId="47E6FDC9" w14:textId="77777777" w:rsidR="007E1642" w:rsidRDefault="00A17B39">
            <w:pPr>
              <w:shd w:val="clear" w:color="auto" w:fill="FFFFFF"/>
              <w:ind w:left="5" w:right="110" w:hanging="5"/>
            </w:pPr>
            <w:r>
              <w:t>Atitvarų dalys, kurioms smūgių spiriant arba me</w:t>
            </w:r>
            <w:r>
              <w:t xml:space="preserve">tant daiktus poveikis mažai tikėtinas. </w:t>
            </w:r>
          </w:p>
        </w:tc>
      </w:tr>
      <w:tr w:rsidR="007E1642" w14:paraId="47E6FDCD" w14:textId="77777777">
        <w:trPr>
          <w:trHeight w:val="20"/>
        </w:trPr>
        <w:tc>
          <w:tcPr>
            <w:tcW w:w="867" w:type="pct"/>
            <w:shd w:val="clear" w:color="auto" w:fill="FFFFFF"/>
            <w:vAlign w:val="center"/>
          </w:tcPr>
          <w:p w14:paraId="47E6FDCB" w14:textId="77777777" w:rsidR="007E1642" w:rsidRDefault="00A17B39">
            <w:pPr>
              <w:shd w:val="clear" w:color="auto" w:fill="FFFFFF"/>
              <w:jc w:val="center"/>
            </w:pPr>
            <w:r>
              <w:t>IV</w:t>
            </w:r>
          </w:p>
        </w:tc>
        <w:tc>
          <w:tcPr>
            <w:tcW w:w="4133" w:type="pct"/>
            <w:shd w:val="clear" w:color="auto" w:fill="FFFFFF"/>
            <w:vAlign w:val="center"/>
          </w:tcPr>
          <w:p w14:paraId="47E6FDCC" w14:textId="77777777" w:rsidR="007E1642" w:rsidRDefault="00A17B39">
            <w:pPr>
              <w:shd w:val="clear" w:color="auto" w:fill="FFFFFF"/>
              <w:ind w:left="5" w:right="110" w:hanging="5"/>
            </w:pPr>
            <w:r>
              <w:t xml:space="preserve">Nuo žemės paviršiaus nepasiekiamos </w:t>
            </w:r>
            <w:proofErr w:type="spellStart"/>
            <w:r>
              <w:t>atitvaros</w:t>
            </w:r>
            <w:proofErr w:type="spellEnd"/>
            <w:r>
              <w:t xml:space="preserve"> dalys.</w:t>
            </w:r>
          </w:p>
        </w:tc>
      </w:tr>
    </w:tbl>
    <w:p w14:paraId="47E6FDCE" w14:textId="77777777" w:rsidR="007E1642" w:rsidRDefault="007E1642">
      <w:pPr>
        <w:widowControl w:val="0"/>
        <w:suppressAutoHyphens/>
        <w:ind w:firstLine="600"/>
        <w:jc w:val="center"/>
        <w:rPr>
          <w:rFonts w:eastAsia="Arial Unicode MS"/>
          <w:sz w:val="20"/>
        </w:rPr>
      </w:pPr>
    </w:p>
    <w:p w14:paraId="47E6FDCF" w14:textId="77777777" w:rsidR="007E1642" w:rsidRDefault="00A17B39">
      <w:pPr>
        <w:widowControl w:val="0"/>
        <w:suppressAutoHyphens/>
        <w:jc w:val="center"/>
        <w:rPr>
          <w:rFonts w:eastAsia="Arial Unicode MS"/>
          <w:sz w:val="20"/>
        </w:rPr>
      </w:pPr>
      <w:r>
        <w:rPr>
          <w:rFonts w:eastAsia="Arial Unicode MS"/>
          <w:noProof/>
          <w:sz w:val="20"/>
          <w:lang w:eastAsia="lt-LT"/>
        </w:rPr>
        <w:drawing>
          <wp:inline distT="0" distB="0" distL="0" distR="0" wp14:anchorId="47E6FF02" wp14:editId="47E6FF03">
            <wp:extent cx="5715000" cy="359092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590925"/>
                    </a:xfrm>
                    <a:prstGeom prst="rect">
                      <a:avLst/>
                    </a:prstGeom>
                    <a:noFill/>
                    <a:ln>
                      <a:noFill/>
                    </a:ln>
                  </pic:spPr>
                </pic:pic>
              </a:graphicData>
            </a:graphic>
          </wp:inline>
        </w:drawing>
      </w:r>
    </w:p>
    <w:p w14:paraId="47E6FDD0" w14:textId="77777777" w:rsidR="007E1642" w:rsidRDefault="00A17B39">
      <w:pPr>
        <w:widowControl w:val="0"/>
        <w:suppressAutoHyphens/>
        <w:ind w:firstLine="600"/>
        <w:jc w:val="center"/>
        <w:rPr>
          <w:rFonts w:eastAsia="Arial Unicode MS"/>
          <w:vanish/>
          <w:sz w:val="20"/>
        </w:rPr>
      </w:pPr>
      <w:r>
        <w:rPr>
          <w:rFonts w:eastAsia="Arial Unicode MS"/>
          <w:vanish/>
          <w:sz w:val="20"/>
        </w:rPr>
        <w:t>(pav.)</w:t>
      </w:r>
    </w:p>
    <w:p w14:paraId="47E6FDD1" w14:textId="77777777" w:rsidR="007E1642" w:rsidRDefault="00A17B39">
      <w:pPr>
        <w:widowControl w:val="0"/>
        <w:suppressAutoHyphens/>
        <w:jc w:val="center"/>
        <w:rPr>
          <w:rFonts w:eastAsia="Arial Unicode MS"/>
        </w:rPr>
      </w:pPr>
      <w:r>
        <w:rPr>
          <w:rFonts w:eastAsia="Arial Unicode MS"/>
        </w:rPr>
        <w:t>1 pav. Sistemos naudojimo kategorijos parinkimo pastato fasade schema</w:t>
      </w:r>
    </w:p>
    <w:p w14:paraId="47E6FDD2" w14:textId="77777777" w:rsidR="007E1642" w:rsidRDefault="007E1642">
      <w:pPr>
        <w:widowControl w:val="0"/>
        <w:suppressAutoHyphens/>
        <w:jc w:val="center"/>
        <w:rPr>
          <w:rFonts w:eastAsia="Arial Unicode MS"/>
        </w:rPr>
      </w:pPr>
    </w:p>
    <w:p w14:paraId="47E6FDD3" w14:textId="77777777" w:rsidR="007E1642" w:rsidRDefault="00A17B39">
      <w:pPr>
        <w:widowControl w:val="0"/>
        <w:suppressAutoHyphens/>
        <w:jc w:val="center"/>
        <w:rPr>
          <w:rFonts w:eastAsia="Arial Unicode MS"/>
        </w:rPr>
      </w:pPr>
      <w:r>
        <w:rPr>
          <w:rFonts w:eastAsia="Arial Unicode MS"/>
          <w:noProof/>
          <w:lang w:eastAsia="lt-LT"/>
        </w:rPr>
        <w:lastRenderedPageBreak/>
        <w:drawing>
          <wp:inline distT="0" distB="0" distL="0" distR="0" wp14:anchorId="47E6FF04" wp14:editId="47E6FF05">
            <wp:extent cx="5476875" cy="46482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6875" cy="4648200"/>
                    </a:xfrm>
                    <a:prstGeom prst="rect">
                      <a:avLst/>
                    </a:prstGeom>
                    <a:noFill/>
                    <a:ln>
                      <a:noFill/>
                    </a:ln>
                  </pic:spPr>
                </pic:pic>
              </a:graphicData>
            </a:graphic>
          </wp:inline>
        </w:drawing>
      </w:r>
    </w:p>
    <w:p w14:paraId="47E6FDD4" w14:textId="77777777" w:rsidR="007E1642" w:rsidRDefault="00A17B39">
      <w:pPr>
        <w:widowControl w:val="0"/>
        <w:suppressAutoHyphens/>
        <w:ind w:firstLine="600"/>
        <w:jc w:val="center"/>
        <w:rPr>
          <w:rFonts w:eastAsia="Arial Unicode MS"/>
          <w:vanish/>
          <w:sz w:val="16"/>
        </w:rPr>
      </w:pPr>
      <w:r>
        <w:rPr>
          <w:rFonts w:eastAsia="Arial Unicode MS"/>
          <w:vanish/>
          <w:sz w:val="16"/>
        </w:rPr>
        <w:t>(pav.)</w:t>
      </w:r>
    </w:p>
    <w:p w14:paraId="47E6FDD5" w14:textId="77777777" w:rsidR="007E1642" w:rsidRDefault="00A17B39">
      <w:pPr>
        <w:widowControl w:val="0"/>
        <w:suppressAutoHyphens/>
        <w:jc w:val="center"/>
        <w:rPr>
          <w:rFonts w:eastAsia="Arial Unicode MS" w:cs="Tahoma"/>
        </w:rPr>
      </w:pPr>
      <w:r>
        <w:rPr>
          <w:rFonts w:eastAsia="Arial Unicode MS" w:cs="Tahoma"/>
        </w:rPr>
        <w:t xml:space="preserve">2 pav. Sistemos naudojimo kategorijos parinkimo iki 3 m </w:t>
      </w:r>
      <w:r>
        <w:rPr>
          <w:rFonts w:eastAsia="Arial Unicode MS" w:cs="Tahoma"/>
        </w:rPr>
        <w:t>aukščio virš grunto lygio sienai pagal pastato aplinkos situaciją schema</w:t>
      </w:r>
    </w:p>
    <w:p w14:paraId="47E6FDD6" w14:textId="77777777" w:rsidR="007E1642" w:rsidRDefault="00A17B39">
      <w:pPr>
        <w:widowControl w:val="0"/>
        <w:suppressAutoHyphens/>
        <w:ind w:firstLine="567"/>
        <w:jc w:val="both"/>
        <w:rPr>
          <w:rFonts w:eastAsia="Arial Unicode MS"/>
        </w:rPr>
      </w:pPr>
    </w:p>
    <w:p w14:paraId="47E6FDD7" w14:textId="77777777" w:rsidR="007E1642" w:rsidRDefault="00A17B39">
      <w:pPr>
        <w:widowControl w:val="0"/>
        <w:suppressAutoHyphens/>
        <w:ind w:firstLine="567"/>
        <w:jc w:val="both"/>
        <w:rPr>
          <w:rFonts w:eastAsia="Arial Unicode MS" w:cs="Tahoma"/>
        </w:rPr>
      </w:pPr>
      <w:r>
        <w:rPr>
          <w:rFonts w:eastAsia="Arial Unicode MS" w:cs="Tahoma"/>
        </w:rPr>
        <w:t>37</w:t>
      </w:r>
      <w:r>
        <w:rPr>
          <w:rFonts w:eastAsia="Arial Unicode MS" w:cs="Tahoma"/>
        </w:rPr>
        <w:t>. Kai tiekiama gamintojo sukomplektuota Sistema, Sistemos atsparumo smūgiams kategorijos nustatomos bandymais pagal 2 lentelės reikalavimus. Kai Sistema projektuojama naudoja</w:t>
      </w:r>
      <w:r>
        <w:rPr>
          <w:rFonts w:eastAsia="Arial Unicode MS" w:cs="Tahoma"/>
        </w:rPr>
        <w:t>nt gamyklinių statybos produktų rinkinį, šį reikalavimą užtikrina projektuotojas, parinkdamas tinkamus Sistemos elementus ir skaičiavimais pagrįsdamas Sistemos karkaso patvarumą.</w:t>
      </w:r>
    </w:p>
    <w:p w14:paraId="47E6FDD8" w14:textId="77777777" w:rsidR="007E1642" w:rsidRDefault="007E1642">
      <w:pPr>
        <w:ind w:firstLine="567"/>
        <w:jc w:val="both"/>
      </w:pPr>
    </w:p>
    <w:p w14:paraId="47E6FDD9" w14:textId="77777777" w:rsidR="007E1642" w:rsidRDefault="00A17B39">
      <w:pPr>
        <w:widowControl w:val="0"/>
        <w:suppressAutoHyphens/>
        <w:ind w:firstLine="600"/>
        <w:jc w:val="right"/>
        <w:rPr>
          <w:rFonts w:eastAsia="Arial Unicode MS"/>
        </w:rPr>
      </w:pPr>
      <w:r>
        <w:rPr>
          <w:rFonts w:eastAsia="Arial Unicode MS"/>
        </w:rPr>
        <w:t>2</w:t>
      </w:r>
      <w:r>
        <w:rPr>
          <w:rFonts w:eastAsia="Arial Unicode MS"/>
        </w:rPr>
        <w:t xml:space="preserve"> lentelė</w:t>
      </w:r>
    </w:p>
    <w:p w14:paraId="47E6FDDA" w14:textId="77777777" w:rsidR="007E1642" w:rsidRDefault="007E1642">
      <w:pPr>
        <w:widowControl w:val="0"/>
        <w:suppressAutoHyphens/>
        <w:ind w:firstLine="567"/>
        <w:jc w:val="both"/>
        <w:rPr>
          <w:rFonts w:eastAsia="Arial Unicode MS"/>
        </w:rPr>
      </w:pPr>
    </w:p>
    <w:p w14:paraId="47E6FDDB" w14:textId="77777777" w:rsidR="007E1642" w:rsidRDefault="00A17B39">
      <w:pPr>
        <w:widowControl w:val="0"/>
        <w:suppressAutoHyphens/>
        <w:jc w:val="center"/>
        <w:rPr>
          <w:rFonts w:eastAsia="Arial Unicode MS"/>
          <w:b/>
        </w:rPr>
      </w:pPr>
      <w:r>
        <w:rPr>
          <w:rFonts w:eastAsia="Arial Unicode MS"/>
          <w:b/>
        </w:rPr>
        <w:t>Sistemų atsparumo smūgiams kategorijų nustatymas</w:t>
      </w:r>
    </w:p>
    <w:p w14:paraId="47E6FDDC" w14:textId="77777777" w:rsidR="007E1642" w:rsidRDefault="007E1642">
      <w:pPr>
        <w:widowControl w:val="0"/>
        <w:suppressAutoHyphens/>
        <w:ind w:firstLine="600"/>
        <w:jc w:val="center"/>
        <w:rPr>
          <w:rFonts w:eastAsia="Arial Unicode M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117"/>
        <w:gridCol w:w="1696"/>
        <w:gridCol w:w="1696"/>
        <w:gridCol w:w="1696"/>
        <w:gridCol w:w="1696"/>
      </w:tblGrid>
      <w:tr w:rsidR="007E1642" w14:paraId="47E6FDE3" w14:textId="77777777">
        <w:trPr>
          <w:cantSplit/>
          <w:tblHeader/>
        </w:trPr>
        <w:tc>
          <w:tcPr>
            <w:tcW w:w="1315" w:type="dxa"/>
            <w:vAlign w:val="center"/>
          </w:tcPr>
          <w:p w14:paraId="47E6FDDD" w14:textId="77777777" w:rsidR="007E1642" w:rsidRDefault="00A17B39">
            <w:pPr>
              <w:widowControl w:val="0"/>
              <w:suppressAutoHyphens/>
              <w:jc w:val="center"/>
              <w:rPr>
                <w:rFonts w:eastAsia="Arial Unicode MS"/>
              </w:rPr>
            </w:pPr>
            <w:r>
              <w:rPr>
                <w:rFonts w:eastAsia="Arial Unicode MS"/>
              </w:rPr>
              <w:t>Poveikio rū</w:t>
            </w:r>
            <w:r>
              <w:rPr>
                <w:rFonts w:eastAsia="Arial Unicode MS"/>
              </w:rPr>
              <w:t>šis</w:t>
            </w:r>
            <w:r>
              <w:rPr>
                <w:rFonts w:eastAsia="Arial Unicode MS"/>
                <w:vertAlign w:val="superscript"/>
              </w:rPr>
              <w:t>*</w:t>
            </w:r>
          </w:p>
        </w:tc>
        <w:tc>
          <w:tcPr>
            <w:tcW w:w="1187" w:type="dxa"/>
            <w:vAlign w:val="center"/>
          </w:tcPr>
          <w:p w14:paraId="47E6FDDE" w14:textId="77777777" w:rsidR="007E1642" w:rsidRDefault="00A17B39">
            <w:pPr>
              <w:widowControl w:val="0"/>
              <w:suppressAutoHyphens/>
              <w:jc w:val="center"/>
              <w:rPr>
                <w:rFonts w:eastAsia="Arial Unicode MS"/>
              </w:rPr>
            </w:pPr>
            <w:r>
              <w:rPr>
                <w:rFonts w:eastAsia="Arial Unicode MS"/>
              </w:rPr>
              <w:t>Poveikio galia, J</w:t>
            </w:r>
          </w:p>
        </w:tc>
        <w:tc>
          <w:tcPr>
            <w:tcW w:w="1697" w:type="dxa"/>
            <w:vAlign w:val="center"/>
          </w:tcPr>
          <w:p w14:paraId="47E6FDDF" w14:textId="77777777" w:rsidR="007E1642" w:rsidRDefault="00A17B39">
            <w:pPr>
              <w:widowControl w:val="0"/>
              <w:suppressAutoHyphens/>
              <w:jc w:val="center"/>
              <w:rPr>
                <w:rFonts w:eastAsia="Arial Unicode MS"/>
              </w:rPr>
            </w:pPr>
            <w:r>
              <w:rPr>
                <w:rFonts w:eastAsia="Arial Unicode MS"/>
              </w:rPr>
              <w:t>IV kategorija</w:t>
            </w:r>
          </w:p>
        </w:tc>
        <w:tc>
          <w:tcPr>
            <w:tcW w:w="1697" w:type="dxa"/>
            <w:vAlign w:val="center"/>
          </w:tcPr>
          <w:p w14:paraId="47E6FDE0" w14:textId="77777777" w:rsidR="007E1642" w:rsidRDefault="00A17B39">
            <w:pPr>
              <w:widowControl w:val="0"/>
              <w:suppressAutoHyphens/>
              <w:jc w:val="center"/>
              <w:rPr>
                <w:rFonts w:eastAsia="Arial Unicode MS"/>
              </w:rPr>
            </w:pPr>
            <w:r>
              <w:rPr>
                <w:rFonts w:eastAsia="Arial Unicode MS"/>
              </w:rPr>
              <w:t>III kategorija</w:t>
            </w:r>
          </w:p>
        </w:tc>
        <w:tc>
          <w:tcPr>
            <w:tcW w:w="1696" w:type="dxa"/>
            <w:vAlign w:val="center"/>
          </w:tcPr>
          <w:p w14:paraId="47E6FDE1" w14:textId="77777777" w:rsidR="007E1642" w:rsidRDefault="00A17B39">
            <w:pPr>
              <w:widowControl w:val="0"/>
              <w:suppressAutoHyphens/>
              <w:jc w:val="center"/>
              <w:rPr>
                <w:rFonts w:eastAsia="Arial Unicode MS"/>
              </w:rPr>
            </w:pPr>
            <w:r>
              <w:rPr>
                <w:rFonts w:eastAsia="Arial Unicode MS"/>
              </w:rPr>
              <w:t>II kategorija</w:t>
            </w:r>
          </w:p>
        </w:tc>
        <w:tc>
          <w:tcPr>
            <w:tcW w:w="1696" w:type="dxa"/>
            <w:vAlign w:val="center"/>
          </w:tcPr>
          <w:p w14:paraId="47E6FDE2" w14:textId="77777777" w:rsidR="007E1642" w:rsidRDefault="00A17B39">
            <w:pPr>
              <w:widowControl w:val="0"/>
              <w:suppressAutoHyphens/>
              <w:jc w:val="center"/>
              <w:rPr>
                <w:rFonts w:eastAsia="Arial Unicode MS"/>
              </w:rPr>
            </w:pPr>
            <w:r>
              <w:rPr>
                <w:rFonts w:eastAsia="Arial Unicode MS"/>
              </w:rPr>
              <w:t>I kategorija</w:t>
            </w:r>
          </w:p>
        </w:tc>
      </w:tr>
      <w:tr w:rsidR="007E1642" w14:paraId="47E6FDEA" w14:textId="77777777">
        <w:trPr>
          <w:cantSplit/>
        </w:trPr>
        <w:tc>
          <w:tcPr>
            <w:tcW w:w="1315" w:type="dxa"/>
            <w:vMerge w:val="restart"/>
            <w:vAlign w:val="center"/>
          </w:tcPr>
          <w:p w14:paraId="47E6FDE4" w14:textId="77777777" w:rsidR="007E1642" w:rsidRDefault="00A17B39">
            <w:pPr>
              <w:widowControl w:val="0"/>
              <w:suppressAutoHyphens/>
              <w:jc w:val="center"/>
              <w:rPr>
                <w:rFonts w:eastAsia="Arial Unicode MS"/>
              </w:rPr>
            </w:pPr>
            <w:r>
              <w:rPr>
                <w:rFonts w:eastAsia="Arial Unicode MS"/>
              </w:rPr>
              <w:t>Kieto kūno poveikis</w:t>
            </w:r>
          </w:p>
        </w:tc>
        <w:tc>
          <w:tcPr>
            <w:tcW w:w="1187" w:type="dxa"/>
            <w:vAlign w:val="center"/>
          </w:tcPr>
          <w:p w14:paraId="47E6FDE5" w14:textId="77777777" w:rsidR="007E1642" w:rsidRDefault="00A17B39">
            <w:pPr>
              <w:widowControl w:val="0"/>
              <w:suppressAutoHyphens/>
              <w:jc w:val="center"/>
              <w:rPr>
                <w:rFonts w:eastAsia="Arial Unicode MS"/>
              </w:rPr>
            </w:pPr>
            <w:r>
              <w:rPr>
                <w:rFonts w:eastAsia="Arial Unicode MS"/>
              </w:rPr>
              <w:t>1</w:t>
            </w:r>
          </w:p>
        </w:tc>
        <w:tc>
          <w:tcPr>
            <w:tcW w:w="1697" w:type="dxa"/>
            <w:vAlign w:val="center"/>
          </w:tcPr>
          <w:p w14:paraId="47E6FDE6" w14:textId="77777777" w:rsidR="007E1642" w:rsidRDefault="00A17B39">
            <w:pPr>
              <w:widowControl w:val="0"/>
              <w:suppressAutoHyphens/>
              <w:jc w:val="center"/>
              <w:rPr>
                <w:rFonts w:eastAsia="Arial Unicode MS"/>
              </w:rPr>
            </w:pPr>
            <w:r>
              <w:rPr>
                <w:rFonts w:eastAsia="Arial Unicode MS"/>
              </w:rPr>
              <w:t>Apdailos elementas nesutrūksta</w:t>
            </w:r>
            <w:r>
              <w:rPr>
                <w:rFonts w:eastAsia="Arial Unicode MS"/>
                <w:vertAlign w:val="superscript"/>
              </w:rPr>
              <w:t>**</w:t>
            </w:r>
          </w:p>
        </w:tc>
        <w:tc>
          <w:tcPr>
            <w:tcW w:w="1697" w:type="dxa"/>
            <w:vAlign w:val="center"/>
          </w:tcPr>
          <w:p w14:paraId="47E6FDE7" w14:textId="77777777" w:rsidR="007E1642" w:rsidRDefault="00A17B39">
            <w:pPr>
              <w:widowControl w:val="0"/>
              <w:suppressAutoHyphens/>
              <w:jc w:val="center"/>
              <w:rPr>
                <w:rFonts w:eastAsia="Arial Unicode MS"/>
              </w:rPr>
            </w:pPr>
            <w:r>
              <w:rPr>
                <w:rFonts w:eastAsia="Arial Unicode MS"/>
              </w:rPr>
              <w:t>netikrinama</w:t>
            </w:r>
          </w:p>
        </w:tc>
        <w:tc>
          <w:tcPr>
            <w:tcW w:w="1696" w:type="dxa"/>
            <w:vAlign w:val="center"/>
          </w:tcPr>
          <w:p w14:paraId="47E6FDE8" w14:textId="77777777" w:rsidR="007E1642" w:rsidRDefault="00A17B39">
            <w:pPr>
              <w:widowControl w:val="0"/>
              <w:suppressAutoHyphens/>
              <w:jc w:val="center"/>
              <w:rPr>
                <w:rFonts w:eastAsia="Arial Unicode MS"/>
              </w:rPr>
            </w:pPr>
            <w:r>
              <w:rPr>
                <w:rFonts w:eastAsia="Arial Unicode MS"/>
              </w:rPr>
              <w:t>netikrinama</w:t>
            </w:r>
          </w:p>
        </w:tc>
        <w:tc>
          <w:tcPr>
            <w:tcW w:w="1696" w:type="dxa"/>
            <w:vAlign w:val="center"/>
          </w:tcPr>
          <w:p w14:paraId="47E6FDE9" w14:textId="77777777" w:rsidR="007E1642" w:rsidRDefault="00A17B39">
            <w:pPr>
              <w:widowControl w:val="0"/>
              <w:suppressAutoHyphens/>
              <w:jc w:val="center"/>
              <w:rPr>
                <w:rFonts w:eastAsia="Arial Unicode MS"/>
              </w:rPr>
            </w:pPr>
            <w:r>
              <w:rPr>
                <w:rFonts w:eastAsia="Arial Unicode MS"/>
              </w:rPr>
              <w:t>netikrinama</w:t>
            </w:r>
          </w:p>
        </w:tc>
      </w:tr>
      <w:tr w:rsidR="007E1642" w14:paraId="47E6FDF1" w14:textId="77777777">
        <w:trPr>
          <w:cantSplit/>
        </w:trPr>
        <w:tc>
          <w:tcPr>
            <w:tcW w:w="1315" w:type="dxa"/>
            <w:vMerge/>
            <w:vAlign w:val="center"/>
          </w:tcPr>
          <w:p w14:paraId="47E6FDEB" w14:textId="77777777" w:rsidR="007E1642" w:rsidRDefault="007E1642">
            <w:pPr>
              <w:widowControl w:val="0"/>
              <w:suppressAutoHyphens/>
              <w:ind w:firstLine="567"/>
              <w:jc w:val="center"/>
              <w:rPr>
                <w:rFonts w:eastAsia="Arial Unicode MS"/>
              </w:rPr>
            </w:pPr>
          </w:p>
        </w:tc>
        <w:tc>
          <w:tcPr>
            <w:tcW w:w="1187" w:type="dxa"/>
            <w:vAlign w:val="center"/>
          </w:tcPr>
          <w:p w14:paraId="47E6FDEC" w14:textId="77777777" w:rsidR="007E1642" w:rsidRDefault="00A17B39">
            <w:pPr>
              <w:widowControl w:val="0"/>
              <w:suppressAutoHyphens/>
              <w:jc w:val="center"/>
              <w:rPr>
                <w:rFonts w:eastAsia="Arial Unicode MS"/>
              </w:rPr>
            </w:pPr>
            <w:r>
              <w:rPr>
                <w:rFonts w:eastAsia="Arial Unicode MS"/>
              </w:rPr>
              <w:t>3</w:t>
            </w:r>
          </w:p>
        </w:tc>
        <w:tc>
          <w:tcPr>
            <w:tcW w:w="1697" w:type="dxa"/>
            <w:vAlign w:val="center"/>
          </w:tcPr>
          <w:p w14:paraId="47E6FDED" w14:textId="77777777" w:rsidR="007E1642" w:rsidRDefault="00A17B39">
            <w:pPr>
              <w:widowControl w:val="0"/>
              <w:suppressAutoHyphens/>
              <w:jc w:val="center"/>
              <w:rPr>
                <w:rFonts w:eastAsia="Arial Unicode MS"/>
              </w:rPr>
            </w:pPr>
            <w:r>
              <w:rPr>
                <w:rFonts w:eastAsia="Arial Unicode MS"/>
              </w:rPr>
              <w:t>netikrinama</w:t>
            </w:r>
          </w:p>
        </w:tc>
        <w:tc>
          <w:tcPr>
            <w:tcW w:w="1697" w:type="dxa"/>
            <w:vAlign w:val="center"/>
          </w:tcPr>
          <w:p w14:paraId="47E6FDEE" w14:textId="77777777" w:rsidR="007E1642" w:rsidRDefault="00A17B39">
            <w:pPr>
              <w:widowControl w:val="0"/>
              <w:suppressAutoHyphens/>
              <w:jc w:val="center"/>
              <w:rPr>
                <w:rFonts w:eastAsia="Arial Unicode MS"/>
              </w:rPr>
            </w:pPr>
            <w:r>
              <w:rPr>
                <w:rFonts w:eastAsia="Arial Unicode MS"/>
              </w:rPr>
              <w:t>Apdailos elementas nesutrūksta</w:t>
            </w:r>
            <w:r>
              <w:rPr>
                <w:rFonts w:eastAsia="Arial Unicode MS"/>
                <w:vertAlign w:val="superscript"/>
              </w:rPr>
              <w:t>**</w:t>
            </w:r>
          </w:p>
        </w:tc>
        <w:tc>
          <w:tcPr>
            <w:tcW w:w="1696" w:type="dxa"/>
            <w:vAlign w:val="center"/>
          </w:tcPr>
          <w:p w14:paraId="47E6FDEF" w14:textId="77777777" w:rsidR="007E1642" w:rsidRDefault="00A17B39">
            <w:pPr>
              <w:widowControl w:val="0"/>
              <w:suppressAutoHyphens/>
              <w:jc w:val="center"/>
              <w:rPr>
                <w:rFonts w:eastAsia="Arial Unicode MS"/>
              </w:rPr>
            </w:pPr>
            <w:r>
              <w:rPr>
                <w:rFonts w:eastAsia="Arial Unicode MS"/>
              </w:rPr>
              <w:t>Apdailos elementas nesugadintas</w:t>
            </w:r>
            <w:r>
              <w:rPr>
                <w:rFonts w:eastAsia="Arial Unicode MS"/>
                <w:vertAlign w:val="superscript"/>
              </w:rPr>
              <w:t>***</w:t>
            </w:r>
          </w:p>
        </w:tc>
        <w:tc>
          <w:tcPr>
            <w:tcW w:w="1696" w:type="dxa"/>
            <w:vAlign w:val="center"/>
          </w:tcPr>
          <w:p w14:paraId="47E6FDF0" w14:textId="77777777" w:rsidR="007E1642" w:rsidRDefault="00A17B39">
            <w:pPr>
              <w:widowControl w:val="0"/>
              <w:suppressAutoHyphens/>
              <w:jc w:val="center"/>
              <w:rPr>
                <w:rFonts w:eastAsia="Arial Unicode MS"/>
              </w:rPr>
            </w:pPr>
            <w:r>
              <w:rPr>
                <w:rFonts w:eastAsia="Arial Unicode MS"/>
              </w:rPr>
              <w:t>Apdailos elementas nesugadintas</w:t>
            </w:r>
            <w:r>
              <w:rPr>
                <w:rFonts w:eastAsia="Arial Unicode MS"/>
                <w:vertAlign w:val="superscript"/>
              </w:rPr>
              <w:t>***</w:t>
            </w:r>
          </w:p>
        </w:tc>
      </w:tr>
      <w:tr w:rsidR="007E1642" w14:paraId="47E6FDF8" w14:textId="77777777">
        <w:trPr>
          <w:cantSplit/>
        </w:trPr>
        <w:tc>
          <w:tcPr>
            <w:tcW w:w="1315" w:type="dxa"/>
            <w:vMerge/>
            <w:vAlign w:val="center"/>
          </w:tcPr>
          <w:p w14:paraId="47E6FDF2" w14:textId="77777777" w:rsidR="007E1642" w:rsidRDefault="007E1642">
            <w:pPr>
              <w:widowControl w:val="0"/>
              <w:suppressAutoHyphens/>
              <w:jc w:val="center"/>
              <w:rPr>
                <w:rFonts w:eastAsia="Arial Unicode MS"/>
              </w:rPr>
            </w:pPr>
          </w:p>
        </w:tc>
        <w:tc>
          <w:tcPr>
            <w:tcW w:w="1187" w:type="dxa"/>
            <w:vAlign w:val="center"/>
          </w:tcPr>
          <w:p w14:paraId="47E6FDF3" w14:textId="77777777" w:rsidR="007E1642" w:rsidRDefault="00A17B39">
            <w:pPr>
              <w:widowControl w:val="0"/>
              <w:suppressAutoHyphens/>
              <w:jc w:val="center"/>
              <w:rPr>
                <w:rFonts w:eastAsia="Arial Unicode MS"/>
              </w:rPr>
            </w:pPr>
            <w:r>
              <w:rPr>
                <w:rFonts w:eastAsia="Arial Unicode MS"/>
              </w:rPr>
              <w:t>10</w:t>
            </w:r>
          </w:p>
        </w:tc>
        <w:tc>
          <w:tcPr>
            <w:tcW w:w="1697" w:type="dxa"/>
            <w:vAlign w:val="center"/>
          </w:tcPr>
          <w:p w14:paraId="47E6FDF4" w14:textId="77777777" w:rsidR="007E1642" w:rsidRDefault="00A17B39">
            <w:pPr>
              <w:widowControl w:val="0"/>
              <w:suppressAutoHyphens/>
              <w:jc w:val="center"/>
              <w:rPr>
                <w:rFonts w:eastAsia="Arial Unicode MS"/>
              </w:rPr>
            </w:pPr>
            <w:r>
              <w:rPr>
                <w:rFonts w:eastAsia="Arial Unicode MS"/>
              </w:rPr>
              <w:t>netikrinama</w:t>
            </w:r>
          </w:p>
        </w:tc>
        <w:tc>
          <w:tcPr>
            <w:tcW w:w="1697" w:type="dxa"/>
            <w:vAlign w:val="center"/>
          </w:tcPr>
          <w:p w14:paraId="47E6FDF5" w14:textId="77777777" w:rsidR="007E1642" w:rsidRDefault="00A17B39">
            <w:pPr>
              <w:widowControl w:val="0"/>
              <w:suppressAutoHyphens/>
              <w:jc w:val="center"/>
              <w:rPr>
                <w:rFonts w:eastAsia="Arial Unicode MS"/>
              </w:rPr>
            </w:pPr>
            <w:r>
              <w:rPr>
                <w:rFonts w:eastAsia="Arial Unicode MS"/>
              </w:rPr>
              <w:t>netikrinama</w:t>
            </w:r>
          </w:p>
        </w:tc>
        <w:tc>
          <w:tcPr>
            <w:tcW w:w="1696" w:type="dxa"/>
            <w:vAlign w:val="center"/>
          </w:tcPr>
          <w:p w14:paraId="47E6FDF6" w14:textId="77777777" w:rsidR="007E1642" w:rsidRDefault="00A17B39">
            <w:pPr>
              <w:widowControl w:val="0"/>
              <w:suppressAutoHyphens/>
              <w:jc w:val="center"/>
              <w:rPr>
                <w:rFonts w:eastAsia="Arial Unicode MS"/>
              </w:rPr>
            </w:pPr>
            <w:r>
              <w:rPr>
                <w:rFonts w:eastAsia="Arial Unicode MS"/>
              </w:rPr>
              <w:t>Apdailos elementas nesutrūksta</w:t>
            </w:r>
            <w:r>
              <w:rPr>
                <w:rFonts w:eastAsia="Arial Unicode MS"/>
                <w:vertAlign w:val="superscript"/>
              </w:rPr>
              <w:t>**</w:t>
            </w:r>
          </w:p>
        </w:tc>
        <w:tc>
          <w:tcPr>
            <w:tcW w:w="1696" w:type="dxa"/>
            <w:vAlign w:val="center"/>
          </w:tcPr>
          <w:p w14:paraId="47E6FDF7" w14:textId="77777777" w:rsidR="007E1642" w:rsidRDefault="00A17B39">
            <w:pPr>
              <w:widowControl w:val="0"/>
              <w:suppressAutoHyphens/>
              <w:jc w:val="center"/>
              <w:rPr>
                <w:rFonts w:eastAsia="Arial Unicode MS"/>
              </w:rPr>
            </w:pPr>
            <w:r>
              <w:rPr>
                <w:rFonts w:eastAsia="Arial Unicode MS"/>
              </w:rPr>
              <w:t>Apdailos elementas nesugadintas</w:t>
            </w:r>
            <w:r>
              <w:rPr>
                <w:rFonts w:eastAsia="Arial Unicode MS"/>
                <w:vertAlign w:val="superscript"/>
              </w:rPr>
              <w:t>***</w:t>
            </w:r>
          </w:p>
        </w:tc>
      </w:tr>
      <w:tr w:rsidR="007E1642" w14:paraId="47E6FDFF" w14:textId="77777777">
        <w:trPr>
          <w:cantSplit/>
        </w:trPr>
        <w:tc>
          <w:tcPr>
            <w:tcW w:w="1315" w:type="dxa"/>
            <w:vMerge w:val="restart"/>
            <w:vAlign w:val="center"/>
          </w:tcPr>
          <w:p w14:paraId="47E6FDF9" w14:textId="77777777" w:rsidR="007E1642" w:rsidRDefault="00A17B39">
            <w:pPr>
              <w:widowControl w:val="0"/>
              <w:suppressAutoHyphens/>
              <w:jc w:val="center"/>
              <w:rPr>
                <w:rFonts w:eastAsia="Arial Unicode MS"/>
              </w:rPr>
            </w:pPr>
            <w:r>
              <w:rPr>
                <w:rFonts w:eastAsia="Arial Unicode MS"/>
              </w:rPr>
              <w:lastRenderedPageBreak/>
              <w:t>Minkšto kūno poveikis</w:t>
            </w:r>
          </w:p>
        </w:tc>
        <w:tc>
          <w:tcPr>
            <w:tcW w:w="1187" w:type="dxa"/>
            <w:vAlign w:val="center"/>
          </w:tcPr>
          <w:p w14:paraId="47E6FDFA" w14:textId="77777777" w:rsidR="007E1642" w:rsidRDefault="00A17B39">
            <w:pPr>
              <w:widowControl w:val="0"/>
              <w:suppressAutoHyphens/>
              <w:jc w:val="center"/>
              <w:rPr>
                <w:rFonts w:eastAsia="Arial Unicode MS"/>
              </w:rPr>
            </w:pPr>
            <w:r>
              <w:rPr>
                <w:rFonts w:eastAsia="Arial Unicode MS"/>
              </w:rPr>
              <w:t>10</w:t>
            </w:r>
          </w:p>
        </w:tc>
        <w:tc>
          <w:tcPr>
            <w:tcW w:w="1697" w:type="dxa"/>
            <w:vAlign w:val="center"/>
          </w:tcPr>
          <w:p w14:paraId="47E6FDFB" w14:textId="77777777" w:rsidR="007E1642" w:rsidRDefault="00A17B39">
            <w:pPr>
              <w:widowControl w:val="0"/>
              <w:suppressAutoHyphens/>
              <w:jc w:val="center"/>
              <w:rPr>
                <w:rFonts w:eastAsia="Arial Unicode MS"/>
              </w:rPr>
            </w:pPr>
            <w:r>
              <w:rPr>
                <w:rFonts w:eastAsia="Arial Unicode MS"/>
              </w:rPr>
              <w:t>Apdailos elementas nesugadintas</w:t>
            </w:r>
            <w:r>
              <w:rPr>
                <w:rFonts w:eastAsia="Arial Unicode MS"/>
                <w:vertAlign w:val="superscript"/>
              </w:rPr>
              <w:t>***</w:t>
            </w:r>
          </w:p>
        </w:tc>
        <w:tc>
          <w:tcPr>
            <w:tcW w:w="1697" w:type="dxa"/>
            <w:vAlign w:val="center"/>
          </w:tcPr>
          <w:p w14:paraId="47E6FDFC" w14:textId="77777777" w:rsidR="007E1642" w:rsidRDefault="00A17B39">
            <w:pPr>
              <w:widowControl w:val="0"/>
              <w:suppressAutoHyphens/>
              <w:jc w:val="center"/>
              <w:rPr>
                <w:rFonts w:eastAsia="Arial Unicode MS"/>
              </w:rPr>
            </w:pPr>
            <w:r>
              <w:rPr>
                <w:rFonts w:eastAsia="Arial Unicode MS"/>
              </w:rPr>
              <w:t>Apdailos elementas nesugadintas</w:t>
            </w:r>
            <w:r>
              <w:rPr>
                <w:rFonts w:eastAsia="Arial Unicode MS"/>
                <w:vertAlign w:val="superscript"/>
              </w:rPr>
              <w:t>***</w:t>
            </w:r>
          </w:p>
        </w:tc>
        <w:tc>
          <w:tcPr>
            <w:tcW w:w="1696" w:type="dxa"/>
            <w:vAlign w:val="center"/>
          </w:tcPr>
          <w:p w14:paraId="47E6FDFD" w14:textId="77777777" w:rsidR="007E1642" w:rsidRDefault="00A17B39">
            <w:pPr>
              <w:widowControl w:val="0"/>
              <w:suppressAutoHyphens/>
              <w:jc w:val="center"/>
              <w:rPr>
                <w:rFonts w:eastAsia="Arial Unicode MS"/>
              </w:rPr>
            </w:pPr>
            <w:r>
              <w:rPr>
                <w:rFonts w:eastAsia="Arial Unicode MS"/>
              </w:rPr>
              <w:t>netikrinama</w:t>
            </w:r>
          </w:p>
        </w:tc>
        <w:tc>
          <w:tcPr>
            <w:tcW w:w="1696" w:type="dxa"/>
            <w:vAlign w:val="center"/>
          </w:tcPr>
          <w:p w14:paraId="47E6FDFE" w14:textId="77777777" w:rsidR="007E1642" w:rsidRDefault="00A17B39">
            <w:pPr>
              <w:widowControl w:val="0"/>
              <w:suppressAutoHyphens/>
              <w:jc w:val="center"/>
              <w:rPr>
                <w:rFonts w:eastAsia="Arial Unicode MS"/>
              </w:rPr>
            </w:pPr>
            <w:r>
              <w:rPr>
                <w:rFonts w:eastAsia="Arial Unicode MS"/>
              </w:rPr>
              <w:t>netikrinama</w:t>
            </w:r>
          </w:p>
        </w:tc>
      </w:tr>
      <w:tr w:rsidR="007E1642" w14:paraId="47E6FE06" w14:textId="77777777">
        <w:trPr>
          <w:cantSplit/>
        </w:trPr>
        <w:tc>
          <w:tcPr>
            <w:tcW w:w="1315" w:type="dxa"/>
            <w:vMerge/>
            <w:vAlign w:val="center"/>
          </w:tcPr>
          <w:p w14:paraId="47E6FE00" w14:textId="77777777" w:rsidR="007E1642" w:rsidRDefault="007E1642">
            <w:pPr>
              <w:widowControl w:val="0"/>
              <w:suppressAutoHyphens/>
              <w:jc w:val="center"/>
              <w:rPr>
                <w:rFonts w:eastAsia="Arial Unicode MS"/>
              </w:rPr>
            </w:pPr>
          </w:p>
        </w:tc>
        <w:tc>
          <w:tcPr>
            <w:tcW w:w="1187" w:type="dxa"/>
            <w:vAlign w:val="center"/>
          </w:tcPr>
          <w:p w14:paraId="47E6FE01" w14:textId="77777777" w:rsidR="007E1642" w:rsidRDefault="00A17B39">
            <w:pPr>
              <w:widowControl w:val="0"/>
              <w:suppressAutoHyphens/>
              <w:jc w:val="center"/>
              <w:rPr>
                <w:rFonts w:eastAsia="Arial Unicode MS"/>
              </w:rPr>
            </w:pPr>
            <w:r>
              <w:rPr>
                <w:rFonts w:eastAsia="Arial Unicode MS"/>
              </w:rPr>
              <w:t>60</w:t>
            </w:r>
          </w:p>
        </w:tc>
        <w:tc>
          <w:tcPr>
            <w:tcW w:w="1697" w:type="dxa"/>
            <w:vAlign w:val="center"/>
          </w:tcPr>
          <w:p w14:paraId="47E6FE02" w14:textId="77777777" w:rsidR="007E1642" w:rsidRDefault="00A17B39">
            <w:pPr>
              <w:widowControl w:val="0"/>
              <w:suppressAutoHyphens/>
              <w:jc w:val="center"/>
              <w:rPr>
                <w:rFonts w:eastAsia="Arial Unicode MS"/>
              </w:rPr>
            </w:pPr>
            <w:r>
              <w:rPr>
                <w:rFonts w:eastAsia="Arial Unicode MS"/>
              </w:rPr>
              <w:t>netikrinama</w:t>
            </w:r>
          </w:p>
        </w:tc>
        <w:tc>
          <w:tcPr>
            <w:tcW w:w="1697" w:type="dxa"/>
            <w:vAlign w:val="center"/>
          </w:tcPr>
          <w:p w14:paraId="47E6FE03" w14:textId="77777777" w:rsidR="007E1642" w:rsidRDefault="00A17B39">
            <w:pPr>
              <w:widowControl w:val="0"/>
              <w:suppressAutoHyphens/>
              <w:jc w:val="center"/>
              <w:rPr>
                <w:rFonts w:eastAsia="Arial Unicode MS"/>
              </w:rPr>
            </w:pPr>
            <w:r>
              <w:rPr>
                <w:rFonts w:eastAsia="Arial Unicode MS"/>
              </w:rPr>
              <w:t>netikrinama</w:t>
            </w:r>
          </w:p>
        </w:tc>
        <w:tc>
          <w:tcPr>
            <w:tcW w:w="1696" w:type="dxa"/>
            <w:vAlign w:val="center"/>
          </w:tcPr>
          <w:p w14:paraId="47E6FE04" w14:textId="77777777" w:rsidR="007E1642" w:rsidRDefault="00A17B39">
            <w:pPr>
              <w:widowControl w:val="0"/>
              <w:suppressAutoHyphens/>
              <w:jc w:val="center"/>
              <w:rPr>
                <w:rFonts w:eastAsia="Arial Unicode MS"/>
              </w:rPr>
            </w:pPr>
            <w:r>
              <w:rPr>
                <w:rFonts w:eastAsia="Arial Unicode MS"/>
              </w:rPr>
              <w:t>Apdailos elementas nesugadintas</w:t>
            </w:r>
            <w:r>
              <w:rPr>
                <w:rFonts w:eastAsia="Arial Unicode MS"/>
                <w:vertAlign w:val="superscript"/>
              </w:rPr>
              <w:t>***</w:t>
            </w:r>
          </w:p>
        </w:tc>
        <w:tc>
          <w:tcPr>
            <w:tcW w:w="1696" w:type="dxa"/>
            <w:vAlign w:val="center"/>
          </w:tcPr>
          <w:p w14:paraId="47E6FE05" w14:textId="77777777" w:rsidR="007E1642" w:rsidRDefault="00A17B39">
            <w:pPr>
              <w:widowControl w:val="0"/>
              <w:suppressAutoHyphens/>
              <w:jc w:val="center"/>
              <w:rPr>
                <w:rFonts w:eastAsia="Arial Unicode MS"/>
              </w:rPr>
            </w:pPr>
            <w:r>
              <w:rPr>
                <w:rFonts w:eastAsia="Arial Unicode MS"/>
              </w:rPr>
              <w:t>Apdailos elementas nesugadintas</w:t>
            </w:r>
            <w:r>
              <w:rPr>
                <w:rFonts w:eastAsia="Arial Unicode MS"/>
                <w:vertAlign w:val="superscript"/>
              </w:rPr>
              <w:t>***</w:t>
            </w:r>
          </w:p>
        </w:tc>
      </w:tr>
      <w:tr w:rsidR="007E1642" w14:paraId="47E6FE0D" w14:textId="77777777">
        <w:trPr>
          <w:cantSplit/>
        </w:trPr>
        <w:tc>
          <w:tcPr>
            <w:tcW w:w="1315" w:type="dxa"/>
            <w:vMerge/>
            <w:vAlign w:val="center"/>
          </w:tcPr>
          <w:p w14:paraId="47E6FE07" w14:textId="77777777" w:rsidR="007E1642" w:rsidRDefault="007E1642">
            <w:pPr>
              <w:widowControl w:val="0"/>
              <w:suppressAutoHyphens/>
              <w:jc w:val="center"/>
              <w:rPr>
                <w:rFonts w:eastAsia="Arial Unicode MS"/>
              </w:rPr>
            </w:pPr>
          </w:p>
        </w:tc>
        <w:tc>
          <w:tcPr>
            <w:tcW w:w="1187" w:type="dxa"/>
            <w:vAlign w:val="center"/>
          </w:tcPr>
          <w:p w14:paraId="47E6FE08" w14:textId="77777777" w:rsidR="007E1642" w:rsidRDefault="00A17B39">
            <w:pPr>
              <w:widowControl w:val="0"/>
              <w:suppressAutoHyphens/>
              <w:jc w:val="center"/>
              <w:rPr>
                <w:rFonts w:eastAsia="Arial Unicode MS"/>
              </w:rPr>
            </w:pPr>
            <w:r>
              <w:rPr>
                <w:rFonts w:eastAsia="Arial Unicode MS"/>
              </w:rPr>
              <w:t>300</w:t>
            </w:r>
          </w:p>
        </w:tc>
        <w:tc>
          <w:tcPr>
            <w:tcW w:w="1697" w:type="dxa"/>
            <w:vAlign w:val="center"/>
          </w:tcPr>
          <w:p w14:paraId="47E6FE09" w14:textId="77777777" w:rsidR="007E1642" w:rsidRDefault="00A17B39">
            <w:pPr>
              <w:widowControl w:val="0"/>
              <w:suppressAutoHyphens/>
              <w:jc w:val="center"/>
              <w:rPr>
                <w:rFonts w:eastAsia="Arial Unicode MS"/>
              </w:rPr>
            </w:pPr>
            <w:r>
              <w:rPr>
                <w:rFonts w:eastAsia="Arial Unicode MS"/>
              </w:rPr>
              <w:t>netikrinama</w:t>
            </w:r>
          </w:p>
        </w:tc>
        <w:tc>
          <w:tcPr>
            <w:tcW w:w="1697" w:type="dxa"/>
            <w:vAlign w:val="center"/>
          </w:tcPr>
          <w:p w14:paraId="47E6FE0A" w14:textId="77777777" w:rsidR="007E1642" w:rsidRDefault="00A17B39">
            <w:pPr>
              <w:widowControl w:val="0"/>
              <w:suppressAutoHyphens/>
              <w:jc w:val="center"/>
              <w:rPr>
                <w:rFonts w:eastAsia="Arial Unicode MS"/>
              </w:rPr>
            </w:pPr>
            <w:r>
              <w:rPr>
                <w:rFonts w:eastAsia="Arial Unicode MS"/>
              </w:rPr>
              <w:t>netikrinama</w:t>
            </w:r>
          </w:p>
        </w:tc>
        <w:tc>
          <w:tcPr>
            <w:tcW w:w="1696" w:type="dxa"/>
            <w:vAlign w:val="center"/>
          </w:tcPr>
          <w:p w14:paraId="47E6FE0B" w14:textId="77777777" w:rsidR="007E1642" w:rsidRDefault="00A17B39">
            <w:pPr>
              <w:widowControl w:val="0"/>
              <w:suppressAutoHyphens/>
              <w:jc w:val="center"/>
              <w:rPr>
                <w:rFonts w:eastAsia="Arial Unicode MS"/>
              </w:rPr>
            </w:pPr>
            <w:r>
              <w:rPr>
                <w:rFonts w:eastAsia="Arial Unicode MS"/>
              </w:rPr>
              <w:t>Apdailos elementas nesugadintas</w:t>
            </w:r>
            <w:r>
              <w:rPr>
                <w:rFonts w:eastAsia="Arial Unicode MS"/>
                <w:vertAlign w:val="superscript"/>
              </w:rPr>
              <w:t>***</w:t>
            </w:r>
          </w:p>
        </w:tc>
        <w:tc>
          <w:tcPr>
            <w:tcW w:w="1696" w:type="dxa"/>
            <w:vAlign w:val="center"/>
          </w:tcPr>
          <w:p w14:paraId="47E6FE0C" w14:textId="77777777" w:rsidR="007E1642" w:rsidRDefault="00A17B39">
            <w:pPr>
              <w:widowControl w:val="0"/>
              <w:suppressAutoHyphens/>
              <w:jc w:val="center"/>
              <w:rPr>
                <w:rFonts w:eastAsia="Arial Unicode MS"/>
              </w:rPr>
            </w:pPr>
            <w:r>
              <w:rPr>
                <w:rFonts w:eastAsia="Arial Unicode MS"/>
              </w:rPr>
              <w:t>netikrinama</w:t>
            </w:r>
          </w:p>
        </w:tc>
      </w:tr>
      <w:tr w:rsidR="007E1642" w14:paraId="47E6FE14" w14:textId="77777777">
        <w:trPr>
          <w:cantSplit/>
        </w:trPr>
        <w:tc>
          <w:tcPr>
            <w:tcW w:w="1315" w:type="dxa"/>
            <w:vMerge/>
            <w:vAlign w:val="center"/>
          </w:tcPr>
          <w:p w14:paraId="47E6FE0E" w14:textId="77777777" w:rsidR="007E1642" w:rsidRDefault="007E1642">
            <w:pPr>
              <w:widowControl w:val="0"/>
              <w:suppressAutoHyphens/>
              <w:jc w:val="center"/>
              <w:rPr>
                <w:rFonts w:eastAsia="Arial Unicode MS"/>
              </w:rPr>
            </w:pPr>
          </w:p>
        </w:tc>
        <w:tc>
          <w:tcPr>
            <w:tcW w:w="1187" w:type="dxa"/>
            <w:vAlign w:val="center"/>
          </w:tcPr>
          <w:p w14:paraId="47E6FE0F" w14:textId="77777777" w:rsidR="007E1642" w:rsidRDefault="00A17B39">
            <w:pPr>
              <w:widowControl w:val="0"/>
              <w:suppressAutoHyphens/>
              <w:jc w:val="center"/>
              <w:rPr>
                <w:rFonts w:eastAsia="Arial Unicode MS"/>
              </w:rPr>
            </w:pPr>
            <w:r>
              <w:rPr>
                <w:rFonts w:eastAsia="Arial Unicode MS"/>
              </w:rPr>
              <w:t>400</w:t>
            </w:r>
          </w:p>
        </w:tc>
        <w:tc>
          <w:tcPr>
            <w:tcW w:w="1697" w:type="dxa"/>
            <w:vAlign w:val="center"/>
          </w:tcPr>
          <w:p w14:paraId="47E6FE10" w14:textId="77777777" w:rsidR="007E1642" w:rsidRDefault="00A17B39">
            <w:pPr>
              <w:widowControl w:val="0"/>
              <w:suppressAutoHyphens/>
              <w:jc w:val="center"/>
              <w:rPr>
                <w:rFonts w:eastAsia="Arial Unicode MS"/>
              </w:rPr>
            </w:pPr>
            <w:r>
              <w:rPr>
                <w:rFonts w:eastAsia="Arial Unicode MS"/>
              </w:rPr>
              <w:t>netikrinama</w:t>
            </w:r>
          </w:p>
        </w:tc>
        <w:tc>
          <w:tcPr>
            <w:tcW w:w="1697" w:type="dxa"/>
            <w:vAlign w:val="center"/>
          </w:tcPr>
          <w:p w14:paraId="47E6FE11" w14:textId="77777777" w:rsidR="007E1642" w:rsidRDefault="00A17B39">
            <w:pPr>
              <w:widowControl w:val="0"/>
              <w:suppressAutoHyphens/>
              <w:jc w:val="center"/>
              <w:rPr>
                <w:rFonts w:eastAsia="Arial Unicode MS"/>
              </w:rPr>
            </w:pPr>
            <w:r>
              <w:rPr>
                <w:rFonts w:eastAsia="Arial Unicode MS"/>
              </w:rPr>
              <w:t>netikrinama</w:t>
            </w:r>
          </w:p>
        </w:tc>
        <w:tc>
          <w:tcPr>
            <w:tcW w:w="1696" w:type="dxa"/>
            <w:vAlign w:val="center"/>
          </w:tcPr>
          <w:p w14:paraId="47E6FE12" w14:textId="77777777" w:rsidR="007E1642" w:rsidRDefault="00A17B39">
            <w:pPr>
              <w:widowControl w:val="0"/>
              <w:suppressAutoHyphens/>
              <w:jc w:val="center"/>
              <w:rPr>
                <w:rFonts w:eastAsia="Arial Unicode MS"/>
              </w:rPr>
            </w:pPr>
            <w:r>
              <w:rPr>
                <w:rFonts w:eastAsia="Arial Unicode MS"/>
              </w:rPr>
              <w:t>netikrinama</w:t>
            </w:r>
          </w:p>
        </w:tc>
        <w:tc>
          <w:tcPr>
            <w:tcW w:w="1696" w:type="dxa"/>
            <w:vAlign w:val="center"/>
          </w:tcPr>
          <w:p w14:paraId="47E6FE13" w14:textId="77777777" w:rsidR="007E1642" w:rsidRDefault="00A17B39">
            <w:pPr>
              <w:widowControl w:val="0"/>
              <w:suppressAutoHyphens/>
              <w:jc w:val="center"/>
              <w:rPr>
                <w:rFonts w:eastAsia="Arial Unicode MS"/>
              </w:rPr>
            </w:pPr>
            <w:r>
              <w:rPr>
                <w:rFonts w:eastAsia="Arial Unicode MS"/>
              </w:rPr>
              <w:t>Apdailos elementas nesugadintas</w:t>
            </w:r>
            <w:r>
              <w:rPr>
                <w:rFonts w:eastAsia="Arial Unicode MS"/>
                <w:vertAlign w:val="superscript"/>
              </w:rPr>
              <w:t>***</w:t>
            </w:r>
          </w:p>
        </w:tc>
      </w:tr>
    </w:tbl>
    <w:p w14:paraId="47E6FE15" w14:textId="77777777" w:rsidR="007E1642" w:rsidRDefault="00A17B39">
      <w:pPr>
        <w:widowControl w:val="0"/>
        <w:suppressAutoHyphens/>
        <w:ind w:firstLine="567"/>
        <w:jc w:val="both"/>
        <w:rPr>
          <w:rFonts w:eastAsia="Arial Unicode MS"/>
          <w:vertAlign w:val="superscript"/>
        </w:rPr>
      </w:pPr>
    </w:p>
    <w:p w14:paraId="47E6FE16" w14:textId="77777777" w:rsidR="007E1642" w:rsidRDefault="00A17B39">
      <w:pPr>
        <w:widowControl w:val="0"/>
        <w:suppressAutoHyphens/>
        <w:ind w:firstLine="567"/>
        <w:jc w:val="both"/>
        <w:rPr>
          <w:rFonts w:eastAsia="Arial Unicode MS"/>
        </w:rPr>
      </w:pPr>
      <w:r>
        <w:rPr>
          <w:rFonts w:eastAsia="Arial Unicode MS"/>
          <w:vertAlign w:val="superscript"/>
        </w:rPr>
        <w:t xml:space="preserve">* </w:t>
      </w:r>
      <w:r>
        <w:rPr>
          <w:rFonts w:eastAsia="Arial Unicode MS"/>
        </w:rPr>
        <w:t>Bandymai atliekami pagal standartą ISO 7892:1998</w:t>
      </w:r>
      <w:r>
        <w:rPr>
          <w:rFonts w:eastAsia="Arial Unicode MS"/>
          <w:bCs/>
        </w:rPr>
        <w:t xml:space="preserve"> [7.10]</w:t>
      </w:r>
      <w:r>
        <w:rPr>
          <w:rFonts w:eastAsia="Arial Unicode MS"/>
        </w:rPr>
        <w:t>.</w:t>
      </w:r>
    </w:p>
    <w:p w14:paraId="47E6FE17" w14:textId="77777777" w:rsidR="007E1642" w:rsidRDefault="00A17B39">
      <w:pPr>
        <w:widowControl w:val="0"/>
        <w:suppressAutoHyphens/>
        <w:ind w:firstLine="567"/>
        <w:jc w:val="both"/>
        <w:rPr>
          <w:rFonts w:eastAsia="Arial Unicode MS"/>
        </w:rPr>
      </w:pPr>
      <w:r>
        <w:rPr>
          <w:rFonts w:eastAsia="Arial Unicode MS"/>
          <w:vertAlign w:val="superscript"/>
        </w:rPr>
        <w:t>**</w:t>
      </w:r>
      <w:r>
        <w:rPr>
          <w:rFonts w:eastAsia="Arial Unicode MS"/>
        </w:rPr>
        <w:t>Apdailos elementas „sutrūksta“, kai susidaro kiauryminiai žiediniai įtrūkiai.</w:t>
      </w:r>
    </w:p>
    <w:p w14:paraId="47E6FE18" w14:textId="77777777" w:rsidR="007E1642" w:rsidRDefault="00A17B39">
      <w:pPr>
        <w:widowControl w:val="0"/>
        <w:suppressAutoHyphens/>
        <w:ind w:firstLine="567"/>
        <w:jc w:val="both"/>
        <w:rPr>
          <w:rFonts w:eastAsia="Arial Unicode MS"/>
        </w:rPr>
      </w:pPr>
      <w:r>
        <w:rPr>
          <w:rFonts w:eastAsia="Arial Unicode MS"/>
          <w:vertAlign w:val="superscript"/>
        </w:rPr>
        <w:t>***</w:t>
      </w:r>
      <w:r>
        <w:rPr>
          <w:rFonts w:eastAsia="Arial Unicode MS"/>
        </w:rPr>
        <w:t>Apdailos elementas su paviršiaus pažeidimais, kai nėra kiauryminių įtrūkių, laikomas „nesugadintu“.</w:t>
      </w:r>
    </w:p>
    <w:p w14:paraId="47E6FE19" w14:textId="77777777" w:rsidR="007E1642" w:rsidRDefault="00A17B39">
      <w:pPr>
        <w:widowControl w:val="0"/>
        <w:suppressAutoHyphens/>
        <w:ind w:firstLine="567"/>
        <w:jc w:val="both"/>
        <w:rPr>
          <w:rFonts w:eastAsia="Arial Unicode MS"/>
          <w:sz w:val="20"/>
        </w:rPr>
      </w:pPr>
    </w:p>
    <w:p w14:paraId="47E6FE1A" w14:textId="77777777" w:rsidR="007E1642" w:rsidRDefault="00A17B39">
      <w:pPr>
        <w:jc w:val="center"/>
        <w:rPr>
          <w:b/>
          <w:caps/>
        </w:rPr>
      </w:pPr>
      <w:r>
        <w:rPr>
          <w:b/>
          <w:caps/>
        </w:rPr>
        <w:t>XIV</w:t>
      </w:r>
      <w:r>
        <w:rPr>
          <w:b/>
          <w:caps/>
        </w:rPr>
        <w:t xml:space="preserve">. </w:t>
      </w:r>
      <w:r>
        <w:rPr>
          <w:b/>
          <w:caps/>
        </w:rPr>
        <w:t>reikalavimai Deformacinių siūlių įrengimui</w:t>
      </w:r>
    </w:p>
    <w:p w14:paraId="47E6FE1B" w14:textId="77777777" w:rsidR="007E1642" w:rsidRDefault="007E1642">
      <w:pPr>
        <w:ind w:firstLine="567"/>
        <w:jc w:val="both"/>
      </w:pPr>
    </w:p>
    <w:p w14:paraId="47E6FE1C" w14:textId="77777777" w:rsidR="007E1642" w:rsidRDefault="00A17B39">
      <w:pPr>
        <w:widowControl w:val="0"/>
        <w:suppressAutoHyphens/>
        <w:ind w:firstLine="567"/>
        <w:jc w:val="both"/>
        <w:rPr>
          <w:rFonts w:eastAsia="Arial Unicode MS" w:cs="Tahoma"/>
        </w:rPr>
      </w:pPr>
      <w:r>
        <w:rPr>
          <w:rFonts w:eastAsia="Arial Unicode MS" w:cs="Tahoma"/>
        </w:rPr>
        <w:t>38</w:t>
      </w:r>
      <w:r>
        <w:rPr>
          <w:rFonts w:eastAsia="Arial Unicode MS" w:cs="Tahoma"/>
        </w:rPr>
        <w:t xml:space="preserve">. Jei pastato </w:t>
      </w:r>
      <w:proofErr w:type="spellStart"/>
      <w:r>
        <w:rPr>
          <w:rFonts w:eastAsia="Arial Unicode MS" w:cs="Tahoma"/>
        </w:rPr>
        <w:t>atitvarose</w:t>
      </w:r>
      <w:proofErr w:type="spellEnd"/>
      <w:r>
        <w:rPr>
          <w:rFonts w:eastAsia="Arial Unicode MS" w:cs="Tahoma"/>
        </w:rPr>
        <w:t xml:space="preserve"> įrengtos deformacinės siūlės, tose pačiose vietose turi būti įrengtos Sistemos deformacinės siūlės. </w:t>
      </w:r>
    </w:p>
    <w:p w14:paraId="47E6FE1D" w14:textId="77777777" w:rsidR="007E1642" w:rsidRDefault="00A17B39">
      <w:pPr>
        <w:widowControl w:val="0"/>
        <w:suppressAutoHyphens/>
        <w:ind w:firstLine="567"/>
        <w:jc w:val="both"/>
        <w:rPr>
          <w:rFonts w:eastAsia="Arial Unicode MS"/>
          <w:b/>
          <w:sz w:val="20"/>
        </w:rPr>
      </w:pPr>
    </w:p>
    <w:p w14:paraId="47E6FE1E" w14:textId="77777777" w:rsidR="007E1642" w:rsidRDefault="00A17B39">
      <w:pPr>
        <w:widowControl w:val="0"/>
        <w:suppressAutoHyphens/>
        <w:jc w:val="center"/>
        <w:rPr>
          <w:rFonts w:eastAsia="Arial Unicode MS"/>
          <w:b/>
        </w:rPr>
      </w:pPr>
      <w:r>
        <w:rPr>
          <w:rFonts w:eastAsia="Arial Unicode MS"/>
          <w:b/>
        </w:rPr>
        <w:t>XV</w:t>
      </w:r>
      <w:r>
        <w:rPr>
          <w:rFonts w:eastAsia="Arial Unicode MS"/>
          <w:b/>
        </w:rPr>
        <w:t xml:space="preserve">. </w:t>
      </w:r>
      <w:r>
        <w:rPr>
          <w:rFonts w:eastAsia="Arial Unicode MS"/>
          <w:b/>
        </w:rPr>
        <w:t>BAIGIAMOSIOS NUOSTATOS</w:t>
      </w:r>
    </w:p>
    <w:p w14:paraId="47E6FE1F" w14:textId="77777777" w:rsidR="007E1642" w:rsidRDefault="007E1642">
      <w:pPr>
        <w:widowControl w:val="0"/>
        <w:suppressAutoHyphens/>
        <w:ind w:firstLine="567"/>
        <w:jc w:val="both"/>
        <w:rPr>
          <w:rFonts w:eastAsia="Arial Unicode MS"/>
        </w:rPr>
      </w:pPr>
    </w:p>
    <w:p w14:paraId="47E6FE20" w14:textId="77777777" w:rsidR="007E1642" w:rsidRDefault="00A17B39">
      <w:pPr>
        <w:widowControl w:val="0"/>
        <w:suppressAutoHyphens/>
        <w:ind w:firstLine="567"/>
        <w:jc w:val="both"/>
        <w:rPr>
          <w:rFonts w:eastAsia="Arial Unicode MS"/>
        </w:rPr>
      </w:pPr>
      <w:r>
        <w:rPr>
          <w:rFonts w:eastAsia="Arial Unicode MS"/>
        </w:rPr>
        <w:t>39</w:t>
      </w:r>
      <w:r>
        <w:rPr>
          <w:rFonts w:eastAsia="Arial Unicode MS"/>
        </w:rPr>
        <w:t xml:space="preserve">. Reglamentas atitinka </w:t>
      </w:r>
      <w:r>
        <w:rPr>
          <w:rFonts w:eastAsia="Arial Unicode MS" w:cs="Tahoma"/>
        </w:rPr>
        <w:t>1988 m. gruodž</w:t>
      </w:r>
      <w:r>
        <w:rPr>
          <w:rFonts w:eastAsia="Arial Unicode MS" w:cs="Tahoma"/>
        </w:rPr>
        <w:t xml:space="preserve">io 21 d. </w:t>
      </w:r>
      <w:r>
        <w:rPr>
          <w:rFonts w:eastAsia="Arial Unicode MS" w:cs="Tahoma"/>
          <w:bCs/>
        </w:rPr>
        <w:t xml:space="preserve">Europos </w:t>
      </w:r>
      <w:r>
        <w:rPr>
          <w:rFonts w:eastAsia="Arial Unicode MS" w:cs="Tahoma"/>
        </w:rPr>
        <w:t>Tarybos direktyvos 89/106/EEB „Dėl valstybių narių įstatymų ir kitų teisės aktų, susijusių su statybos produktais, suderinimo“</w:t>
      </w:r>
      <w:r>
        <w:rPr>
          <w:rFonts w:eastAsia="Arial Unicode MS"/>
          <w:bCs/>
        </w:rPr>
        <w:t xml:space="preserve"> reikalavimus ir parengtas vadovaujantis </w:t>
      </w:r>
      <w:r>
        <w:rPr>
          <w:rFonts w:eastAsia="Arial Unicode MS"/>
        </w:rPr>
        <w:t>Lietuvos ir Europos standartų reikalavimais.</w:t>
      </w:r>
    </w:p>
    <w:p w14:paraId="47E6FE21" w14:textId="77777777" w:rsidR="007E1642" w:rsidRDefault="00A17B39">
      <w:pPr>
        <w:widowControl w:val="0"/>
        <w:suppressAutoHyphens/>
        <w:ind w:firstLine="567"/>
        <w:jc w:val="both"/>
        <w:rPr>
          <w:rFonts w:eastAsia="Arial Unicode MS"/>
        </w:rPr>
      </w:pPr>
      <w:r>
        <w:rPr>
          <w:rFonts w:eastAsia="Arial Unicode MS"/>
        </w:rPr>
        <w:t>40</w:t>
      </w:r>
      <w:r>
        <w:rPr>
          <w:rFonts w:eastAsia="Arial Unicode MS"/>
        </w:rPr>
        <w:t>. Asmenys, pažeidę Re</w:t>
      </w:r>
      <w:r>
        <w:rPr>
          <w:rFonts w:eastAsia="Arial Unicode MS"/>
        </w:rPr>
        <w:t>glamento reikalavimus, atsako Lietuvos Respublikos įstatymų ir kitų teisės aktų nustatyta tvarka.</w:t>
      </w:r>
    </w:p>
    <w:p w14:paraId="47E6FE22" w14:textId="77777777" w:rsidR="007E1642" w:rsidRDefault="00A17B39">
      <w:pPr>
        <w:widowControl w:val="0"/>
        <w:suppressAutoHyphens/>
        <w:ind w:firstLine="600"/>
        <w:jc w:val="center"/>
        <w:rPr>
          <w:rFonts w:eastAsia="Arial Unicode MS"/>
          <w:spacing w:val="-6"/>
          <w:sz w:val="20"/>
        </w:rPr>
      </w:pPr>
    </w:p>
    <w:p w14:paraId="47E6FE23" w14:textId="77777777" w:rsidR="007E1642" w:rsidRDefault="00A17B39">
      <w:pPr>
        <w:widowControl w:val="0"/>
        <w:suppressAutoHyphens/>
        <w:jc w:val="center"/>
        <w:rPr>
          <w:rFonts w:eastAsia="Arial Unicode MS"/>
          <w:spacing w:val="-6"/>
          <w:sz w:val="20"/>
        </w:rPr>
      </w:pPr>
      <w:r>
        <w:rPr>
          <w:rFonts w:eastAsia="Arial Unicode MS"/>
          <w:spacing w:val="-6"/>
          <w:sz w:val="20"/>
        </w:rPr>
        <w:t>_________________</w:t>
      </w:r>
    </w:p>
    <w:p w14:paraId="47E6FE24" w14:textId="77777777" w:rsidR="007E1642" w:rsidRDefault="00A17B39">
      <w:pPr>
        <w:widowControl w:val="0"/>
        <w:suppressAutoHyphens/>
        <w:ind w:firstLine="600"/>
        <w:jc w:val="both"/>
        <w:rPr>
          <w:rFonts w:eastAsia="Arial Unicode MS"/>
          <w:sz w:val="20"/>
        </w:rPr>
      </w:pPr>
    </w:p>
    <w:p w14:paraId="47E6FE25" w14:textId="77777777" w:rsidR="007E1642" w:rsidRDefault="00A17B39">
      <w:pPr>
        <w:ind w:left="4535"/>
      </w:pPr>
      <w:r>
        <w:br w:type="page"/>
      </w:r>
      <w:r>
        <w:lastRenderedPageBreak/>
        <w:t xml:space="preserve">Statybos techninio reglamento </w:t>
      </w:r>
    </w:p>
    <w:p w14:paraId="47E6FE26" w14:textId="77777777" w:rsidR="007E1642" w:rsidRDefault="00A17B39">
      <w:pPr>
        <w:ind w:left="4535"/>
      </w:pPr>
      <w:r>
        <w:t xml:space="preserve">STR 2.01.11:2012 „Išorinės vėdinamos </w:t>
      </w:r>
    </w:p>
    <w:p w14:paraId="47E6FE27" w14:textId="77777777" w:rsidR="007E1642" w:rsidRDefault="00A17B39">
      <w:pPr>
        <w:ind w:left="4535"/>
      </w:pPr>
      <w:r>
        <w:t>termoizoliacinės sistemos“</w:t>
      </w:r>
    </w:p>
    <w:p w14:paraId="47E6FE28" w14:textId="77777777" w:rsidR="007E1642" w:rsidRDefault="00A17B39">
      <w:pPr>
        <w:ind w:left="4535"/>
      </w:pPr>
      <w:r>
        <w:t xml:space="preserve">priedas </w:t>
      </w:r>
    </w:p>
    <w:p w14:paraId="47E6FE29" w14:textId="77777777" w:rsidR="007E1642" w:rsidRDefault="007E1642">
      <w:pPr>
        <w:widowControl w:val="0"/>
        <w:suppressAutoHyphens/>
        <w:ind w:firstLine="600"/>
        <w:jc w:val="center"/>
        <w:rPr>
          <w:rFonts w:eastAsia="Arial Unicode MS" w:cs="Tahoma"/>
        </w:rPr>
      </w:pPr>
    </w:p>
    <w:p w14:paraId="47E6FE2A" w14:textId="77777777" w:rsidR="007E1642" w:rsidRDefault="00A17B39">
      <w:pPr>
        <w:widowControl w:val="0"/>
        <w:suppressAutoHyphens/>
        <w:jc w:val="center"/>
        <w:rPr>
          <w:rFonts w:eastAsia="Arial Unicode MS"/>
          <w:b/>
        </w:rPr>
      </w:pPr>
      <w:r>
        <w:rPr>
          <w:rFonts w:eastAsia="Arial Unicode MS"/>
          <w:b/>
        </w:rPr>
        <w:t>PROJEKTINĖS VĖJO APKROV</w:t>
      </w:r>
      <w:r>
        <w:rPr>
          <w:rFonts w:eastAsia="Arial Unicode MS"/>
          <w:b/>
        </w:rPr>
        <w:t>OS SKAIČIAVIMAS</w:t>
      </w:r>
    </w:p>
    <w:p w14:paraId="47E6FE2B" w14:textId="77777777" w:rsidR="007E1642" w:rsidRDefault="007E1642">
      <w:pPr>
        <w:widowControl w:val="0"/>
        <w:suppressAutoHyphens/>
        <w:ind w:firstLine="567"/>
        <w:jc w:val="both"/>
        <w:rPr>
          <w:rFonts w:eastAsia="Arial Unicode MS"/>
        </w:rPr>
      </w:pPr>
    </w:p>
    <w:p w14:paraId="47E6FE2C" w14:textId="77777777" w:rsidR="007E1642" w:rsidRDefault="00A17B39">
      <w:pPr>
        <w:ind w:firstLine="567"/>
        <w:jc w:val="both"/>
      </w:pPr>
      <w:r>
        <w:t>1</w:t>
      </w:r>
      <w:r>
        <w:t xml:space="preserve">. Projektinė vėjo apkrova </w:t>
      </w:r>
      <w:proofErr w:type="spellStart"/>
      <w:r>
        <w:t>S</w:t>
      </w:r>
      <w:r>
        <w:rPr>
          <w:vertAlign w:val="subscript"/>
        </w:rPr>
        <w:t>d</w:t>
      </w:r>
      <w:proofErr w:type="spellEnd"/>
      <w:r>
        <w:t xml:space="preserve">, </w:t>
      </w:r>
      <w:proofErr w:type="spellStart"/>
      <w:r>
        <w:t>kPa</w:t>
      </w:r>
      <w:proofErr w:type="spellEnd"/>
      <w:r>
        <w:t xml:space="preserve"> apskaičiuojama pagal formulę:</w:t>
      </w:r>
    </w:p>
    <w:p w14:paraId="47E6FE2D" w14:textId="77777777" w:rsidR="007E1642" w:rsidRDefault="007E1642">
      <w:pPr>
        <w:tabs>
          <w:tab w:val="right" w:pos="9356"/>
        </w:tabs>
        <w:ind w:firstLine="567"/>
      </w:pPr>
    </w:p>
    <w:tbl>
      <w:tblPr>
        <w:tblW w:w="9070" w:type="dxa"/>
        <w:tblLayout w:type="fixed"/>
        <w:tblLook w:val="0000" w:firstRow="0" w:lastRow="0" w:firstColumn="0" w:lastColumn="0" w:noHBand="0" w:noVBand="0"/>
      </w:tblPr>
      <w:tblGrid>
        <w:gridCol w:w="8027"/>
        <w:gridCol w:w="1043"/>
      </w:tblGrid>
      <w:tr w:rsidR="007E1642" w14:paraId="47E6FE30" w14:textId="77777777">
        <w:tc>
          <w:tcPr>
            <w:tcW w:w="8388" w:type="dxa"/>
          </w:tcPr>
          <w:p w14:paraId="47E6FE2E" w14:textId="77777777" w:rsidR="007E1642" w:rsidRDefault="00A17B39">
            <w:pPr>
              <w:tabs>
                <w:tab w:val="right" w:pos="9356"/>
              </w:tabs>
              <w:jc w:val="center"/>
            </w:pPr>
            <w:r>
              <w:rPr>
                <w:noProof/>
                <w:position w:val="-16"/>
                <w:lang w:eastAsia="lt-LT"/>
              </w:rPr>
              <w:drawing>
                <wp:inline distT="0" distB="0" distL="0" distR="0" wp14:anchorId="47E6FF06" wp14:editId="47E6FF07">
                  <wp:extent cx="1514475"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4475" cy="266700"/>
                          </a:xfrm>
                          <a:prstGeom prst="rect">
                            <a:avLst/>
                          </a:prstGeom>
                          <a:noFill/>
                          <a:ln>
                            <a:noFill/>
                          </a:ln>
                        </pic:spPr>
                      </pic:pic>
                    </a:graphicData>
                  </a:graphic>
                </wp:inline>
              </w:drawing>
            </w:r>
            <w:proofErr w:type="spellStart"/>
            <w:r>
              <w:rPr>
                <w:vanish/>
                <w:position w:val="-16"/>
              </w:rPr>
              <w:t>Sd=MODULIS</w:t>
            </w:r>
            <w:proofErr w:type="spellEnd"/>
            <w:r>
              <w:rPr>
                <w:vanish/>
                <w:position w:val="-16"/>
              </w:rPr>
              <w:t>(</w:t>
            </w:r>
            <w:proofErr w:type="spellStart"/>
            <w:r>
              <w:rPr>
                <w:vanish/>
                <w:position w:val="-16"/>
                <w:lang w:val="fr-FR"/>
              </w:rPr>
              <w:t>q</w:t>
            </w:r>
            <w:r>
              <w:rPr>
                <w:vanish/>
                <w:position w:val="-16"/>
                <w:vertAlign w:val="subscript"/>
                <w:lang w:val="fr-FR"/>
              </w:rPr>
              <w:t>ref</w:t>
            </w:r>
            <w:proofErr w:type="spellEnd"/>
            <w:r>
              <w:rPr>
                <w:vanish/>
                <w:position w:val="-16"/>
                <w:lang w:val="fr-FR"/>
              </w:rPr>
              <w:t>*c(z)*c</w:t>
            </w:r>
            <w:r>
              <w:rPr>
                <w:vanish/>
                <w:position w:val="-16"/>
                <w:vertAlign w:val="subscript"/>
                <w:lang w:val="fr-FR"/>
              </w:rPr>
              <w:t>e</w:t>
            </w:r>
            <w:r>
              <w:rPr>
                <w:vanish/>
                <w:position w:val="-16"/>
              </w:rPr>
              <w:t xml:space="preserve">) * </w:t>
            </w:r>
            <w:proofErr w:type="spellStart"/>
            <w:r>
              <w:rPr>
                <w:vanish/>
                <w:position w:val="-16"/>
              </w:rPr>
              <w:t>gama</w:t>
            </w:r>
            <w:r>
              <w:rPr>
                <w:vanish/>
                <w:position w:val="-16"/>
                <w:vertAlign w:val="subscript"/>
              </w:rPr>
              <w:t>Q</w:t>
            </w:r>
            <w:proofErr w:type="spellEnd"/>
            <w:r>
              <w:t>,</w:t>
            </w:r>
          </w:p>
        </w:tc>
        <w:tc>
          <w:tcPr>
            <w:tcW w:w="1080" w:type="dxa"/>
            <w:vAlign w:val="center"/>
          </w:tcPr>
          <w:p w14:paraId="47E6FE2F" w14:textId="77777777" w:rsidR="007E1642" w:rsidRDefault="00A17B39">
            <w:pPr>
              <w:tabs>
                <w:tab w:val="right" w:pos="9356"/>
              </w:tabs>
              <w:jc w:val="right"/>
            </w:pPr>
            <w:r>
              <w:t>(1.1)</w:t>
            </w:r>
          </w:p>
        </w:tc>
      </w:tr>
    </w:tbl>
    <w:p w14:paraId="47E6FE31" w14:textId="77777777" w:rsidR="007E1642" w:rsidRDefault="007E1642">
      <w:pPr>
        <w:tabs>
          <w:tab w:val="right" w:pos="9356"/>
        </w:tabs>
        <w:ind w:firstLine="567"/>
      </w:pPr>
    </w:p>
    <w:p w14:paraId="47E6FE32" w14:textId="77777777" w:rsidR="007E1642" w:rsidRDefault="00A17B39">
      <w:pPr>
        <w:jc w:val="both"/>
      </w:pPr>
      <w:r>
        <w:t xml:space="preserve">čia: </w:t>
      </w:r>
    </w:p>
    <w:p w14:paraId="47E6FE33" w14:textId="77777777" w:rsidR="007E1642" w:rsidRDefault="00A17B39">
      <w:pPr>
        <w:ind w:firstLine="567"/>
        <w:jc w:val="both"/>
      </w:pPr>
      <w:proofErr w:type="spellStart"/>
      <w:r>
        <w:rPr>
          <w:i/>
        </w:rPr>
        <w:t>q</w:t>
      </w:r>
      <w:r>
        <w:rPr>
          <w:vertAlign w:val="subscript"/>
        </w:rPr>
        <w:t>ref</w:t>
      </w:r>
      <w:proofErr w:type="spellEnd"/>
      <w:r>
        <w:t xml:space="preserve">  – atskaitinis vėjo slėgis, </w:t>
      </w:r>
      <w:proofErr w:type="spellStart"/>
      <w:r>
        <w:t>kPa</w:t>
      </w:r>
      <w:proofErr w:type="spellEnd"/>
      <w:r>
        <w:t>. Nustatomas pagal 1 priedo 2 punkto reikalavimus;</w:t>
      </w:r>
    </w:p>
    <w:p w14:paraId="47E6FE34" w14:textId="77777777" w:rsidR="007E1642" w:rsidRDefault="00A17B39">
      <w:pPr>
        <w:ind w:firstLine="567"/>
        <w:jc w:val="both"/>
      </w:pPr>
      <w:proofErr w:type="spellStart"/>
      <w:r>
        <w:rPr>
          <w:i/>
        </w:rPr>
        <w:t>c</w:t>
      </w:r>
      <w:r>
        <w:rPr>
          <w:vertAlign w:val="subscript"/>
        </w:rPr>
        <w:t>e</w:t>
      </w:r>
      <w:proofErr w:type="spellEnd"/>
      <w:r>
        <w:t xml:space="preserve"> – pavėjinis išorinio slėgio aerodinaminis koeficientas. Nustatomas pagal 1 priedo 4 punkto reikalavimus;</w:t>
      </w:r>
    </w:p>
    <w:p w14:paraId="47E6FE35" w14:textId="77777777" w:rsidR="007E1642" w:rsidRDefault="00A17B39">
      <w:pPr>
        <w:ind w:firstLine="567"/>
        <w:jc w:val="both"/>
      </w:pPr>
      <w:proofErr w:type="spellStart"/>
      <w:r>
        <w:rPr>
          <w:i/>
        </w:rPr>
        <w:t>c</w:t>
      </w:r>
      <w:r>
        <w:t>(</w:t>
      </w:r>
      <w:r>
        <w:rPr>
          <w:i/>
        </w:rPr>
        <w:t>z</w:t>
      </w:r>
      <w:proofErr w:type="spellEnd"/>
      <w:r>
        <w:t>) – koeficientas, įvertinantis vietovės reljefo tipą ir aukštį nuo žemės paviršiaus. Nustatomas iš 1.4 lentelės;</w:t>
      </w:r>
    </w:p>
    <w:p w14:paraId="47E6FE36" w14:textId="77777777" w:rsidR="007E1642" w:rsidRDefault="00A17B39">
      <w:pPr>
        <w:ind w:firstLine="567"/>
        <w:jc w:val="both"/>
      </w:pPr>
      <w:r>
        <w:rPr>
          <w:vanish/>
        </w:rPr>
        <w:t>gama</w:t>
      </w:r>
      <w:r>
        <w:sym w:font="Symbol" w:char="F067"/>
      </w:r>
      <w:r>
        <w:rPr>
          <w:vertAlign w:val="subscript"/>
        </w:rPr>
        <w:t>Q</w:t>
      </w:r>
      <w:r>
        <w:t xml:space="preserve"> – vėjo poveikio dalinis pat</w:t>
      </w:r>
      <w:r>
        <w:t xml:space="preserve">ikimumo koeficientas, </w:t>
      </w:r>
      <w:r>
        <w:rPr>
          <w:vanish/>
        </w:rPr>
        <w:t>gama</w:t>
      </w:r>
      <w:r>
        <w:sym w:font="Symbol" w:char="F067"/>
      </w:r>
      <w:r>
        <w:rPr>
          <w:vertAlign w:val="subscript"/>
        </w:rPr>
        <w:t>Q</w:t>
      </w:r>
      <w:r>
        <w:t>=1,3 (STR 2.05.04:2003 [7.5]).</w:t>
      </w:r>
    </w:p>
    <w:p w14:paraId="47E6FE37" w14:textId="77777777" w:rsidR="007E1642" w:rsidRDefault="00A17B39">
      <w:pPr>
        <w:ind w:firstLine="567"/>
        <w:jc w:val="both"/>
        <w:rPr>
          <w:b/>
          <w:i/>
        </w:rPr>
      </w:pPr>
    </w:p>
    <w:p w14:paraId="47E6FE38" w14:textId="77777777" w:rsidR="007E1642" w:rsidRDefault="00A17B39">
      <w:pPr>
        <w:ind w:firstLine="567"/>
        <w:jc w:val="both"/>
      </w:pPr>
      <w:r>
        <w:t>2</w:t>
      </w:r>
      <w:r>
        <w:t xml:space="preserve">. Atskaitinis vėjo slėgis </w:t>
      </w:r>
      <w:proofErr w:type="spellStart"/>
      <w:r>
        <w:rPr>
          <w:i/>
        </w:rPr>
        <w:t>q</w:t>
      </w:r>
      <w:r>
        <w:rPr>
          <w:vertAlign w:val="subscript"/>
        </w:rPr>
        <w:t>ref</w:t>
      </w:r>
      <w:proofErr w:type="spellEnd"/>
      <w:r>
        <w:t xml:space="preserve"> , </w:t>
      </w:r>
      <w:proofErr w:type="spellStart"/>
      <w:r>
        <w:t>kPa</w:t>
      </w:r>
      <w:proofErr w:type="spellEnd"/>
      <w:r>
        <w:t xml:space="preserve"> apskaičiuojamas:</w:t>
      </w:r>
    </w:p>
    <w:p w14:paraId="47E6FE39" w14:textId="77777777" w:rsidR="007E1642" w:rsidRDefault="007E1642">
      <w:pPr>
        <w:ind w:firstLine="567"/>
        <w:jc w:val="both"/>
      </w:pPr>
    </w:p>
    <w:tbl>
      <w:tblPr>
        <w:tblW w:w="9070" w:type="dxa"/>
        <w:tblLayout w:type="fixed"/>
        <w:tblLook w:val="0000" w:firstRow="0" w:lastRow="0" w:firstColumn="0" w:lastColumn="0" w:noHBand="0" w:noVBand="0"/>
      </w:tblPr>
      <w:tblGrid>
        <w:gridCol w:w="8027"/>
        <w:gridCol w:w="1043"/>
      </w:tblGrid>
      <w:tr w:rsidR="007E1642" w14:paraId="47E6FE3C" w14:textId="77777777">
        <w:tc>
          <w:tcPr>
            <w:tcW w:w="8388" w:type="dxa"/>
          </w:tcPr>
          <w:p w14:paraId="47E6FE3A" w14:textId="77777777" w:rsidR="007E1642" w:rsidRDefault="00A17B39">
            <w:pPr>
              <w:tabs>
                <w:tab w:val="right" w:pos="9356"/>
              </w:tabs>
              <w:jc w:val="center"/>
            </w:pPr>
            <w:r>
              <w:rPr>
                <w:noProof/>
                <w:position w:val="-24"/>
                <w:lang w:eastAsia="lt-LT"/>
              </w:rPr>
              <w:drawing>
                <wp:inline distT="0" distB="0" distL="0" distR="0" wp14:anchorId="47E6FF08" wp14:editId="47E6FF09">
                  <wp:extent cx="120967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9675" cy="342900"/>
                          </a:xfrm>
                          <a:prstGeom prst="rect">
                            <a:avLst/>
                          </a:prstGeom>
                          <a:noFill/>
                          <a:ln>
                            <a:noFill/>
                          </a:ln>
                        </pic:spPr>
                      </pic:pic>
                    </a:graphicData>
                  </a:graphic>
                </wp:inline>
              </w:drawing>
            </w:r>
            <w:r>
              <w:rPr>
                <w:vanish/>
                <w:position w:val="-24"/>
              </w:rPr>
              <w:t>q</w:t>
            </w:r>
            <w:r>
              <w:rPr>
                <w:vanish/>
                <w:position w:val="-24"/>
                <w:vertAlign w:val="subscript"/>
              </w:rPr>
              <w:t>ref</w:t>
            </w:r>
            <w:r>
              <w:rPr>
                <w:vanish/>
                <w:position w:val="-24"/>
              </w:rPr>
              <w:t>=0,001*</w:t>
            </w:r>
            <w:proofErr w:type="spellStart"/>
            <w:r>
              <w:rPr>
                <w:vanish/>
                <w:position w:val="-24"/>
              </w:rPr>
              <w:t>rho</w:t>
            </w:r>
            <w:proofErr w:type="spellEnd"/>
            <w:r>
              <w:rPr>
                <w:vanish/>
                <w:position w:val="-24"/>
              </w:rPr>
              <w:t>/2 * v</w:t>
            </w:r>
            <w:r>
              <w:rPr>
                <w:vanish/>
                <w:position w:val="-24"/>
                <w:vertAlign w:val="subscript"/>
              </w:rPr>
              <w:t>ref</w:t>
            </w:r>
            <w:r>
              <w:rPr>
                <w:vanish/>
                <w:position w:val="-24"/>
              </w:rPr>
              <w:t>^2</w:t>
            </w:r>
            <w:r>
              <w:t>,</w:t>
            </w:r>
          </w:p>
        </w:tc>
        <w:tc>
          <w:tcPr>
            <w:tcW w:w="1080" w:type="dxa"/>
            <w:vAlign w:val="center"/>
          </w:tcPr>
          <w:p w14:paraId="47E6FE3B" w14:textId="77777777" w:rsidR="007E1642" w:rsidRDefault="00A17B39">
            <w:pPr>
              <w:tabs>
                <w:tab w:val="right" w:pos="9356"/>
              </w:tabs>
              <w:jc w:val="right"/>
            </w:pPr>
            <w:r>
              <w:t>(1.2)</w:t>
            </w:r>
          </w:p>
        </w:tc>
      </w:tr>
    </w:tbl>
    <w:p w14:paraId="47E6FE3D" w14:textId="77777777" w:rsidR="007E1642" w:rsidRDefault="007E1642"/>
    <w:p w14:paraId="47E6FE3E" w14:textId="77777777" w:rsidR="007E1642" w:rsidRDefault="00A17B39">
      <w:r>
        <w:t xml:space="preserve">čia: </w:t>
      </w:r>
    </w:p>
    <w:p w14:paraId="47E6FE3F" w14:textId="77777777" w:rsidR="007E1642" w:rsidRDefault="00A17B39">
      <w:pPr>
        <w:ind w:firstLine="567"/>
        <w:jc w:val="both"/>
      </w:pPr>
      <w:proofErr w:type="spellStart"/>
      <w:r>
        <w:rPr>
          <w:i/>
        </w:rPr>
        <w:t>v</w:t>
      </w:r>
      <w:r>
        <w:rPr>
          <w:i/>
          <w:vertAlign w:val="subscript"/>
        </w:rPr>
        <w:t>ref</w:t>
      </w:r>
      <w:proofErr w:type="spellEnd"/>
      <w:r>
        <w:t xml:space="preserve"> – atskaitinis vėjo greitis, m/s, kurio metinė viršijimo tikimybė yra 0,02. Nustatomas pagal priedo 3 punkto reikalavimus;</w:t>
      </w:r>
    </w:p>
    <w:p w14:paraId="47E6FE40" w14:textId="77777777" w:rsidR="007E1642" w:rsidRDefault="00A17B39">
      <w:pPr>
        <w:ind w:firstLine="567"/>
        <w:jc w:val="both"/>
      </w:pPr>
      <w:proofErr w:type="spellStart"/>
      <w:r>
        <w:rPr>
          <w:i/>
          <w:vanish/>
        </w:rPr>
        <w:t>rho</w:t>
      </w:r>
      <w:proofErr w:type="spellEnd"/>
      <w:r>
        <w:rPr>
          <w:i/>
        </w:rPr>
        <w:sym w:font="Symbol" w:char="F072"/>
      </w:r>
      <w:r>
        <w:t xml:space="preserve"> – oro tankis, kg/m</w:t>
      </w:r>
      <w:r>
        <w:rPr>
          <w:vertAlign w:val="superscript"/>
        </w:rPr>
        <w:t>3</w:t>
      </w:r>
      <w:r>
        <w:t xml:space="preserve">. Imama </w:t>
      </w:r>
      <w:proofErr w:type="spellStart"/>
      <w:r>
        <w:rPr>
          <w:i/>
          <w:vanish/>
        </w:rPr>
        <w:t>rho</w:t>
      </w:r>
      <w:proofErr w:type="spellEnd"/>
      <w:r>
        <w:sym w:font="Symbol" w:char="F072"/>
      </w:r>
      <w:r>
        <w:t>=1,25 kg/m</w:t>
      </w:r>
      <w:r>
        <w:rPr>
          <w:vertAlign w:val="superscript"/>
        </w:rPr>
        <w:t>3</w:t>
      </w:r>
      <w:r>
        <w:t>.</w:t>
      </w:r>
    </w:p>
    <w:p w14:paraId="47E6FE41" w14:textId="77777777" w:rsidR="007E1642" w:rsidRDefault="00A17B39">
      <w:pPr>
        <w:ind w:firstLine="567"/>
        <w:jc w:val="both"/>
        <w:rPr>
          <w:i/>
        </w:rPr>
      </w:pPr>
    </w:p>
    <w:p w14:paraId="47E6FE42" w14:textId="77777777" w:rsidR="007E1642" w:rsidRDefault="00A17B39">
      <w:pPr>
        <w:ind w:firstLine="567"/>
        <w:jc w:val="both"/>
      </w:pPr>
      <w:r>
        <w:t>3</w:t>
      </w:r>
      <w:r>
        <w:t xml:space="preserve">. Atskaitinis vėjo greitis </w:t>
      </w:r>
      <w:proofErr w:type="spellStart"/>
      <w:r>
        <w:rPr>
          <w:i/>
        </w:rPr>
        <w:t>v</w:t>
      </w:r>
      <w:r>
        <w:rPr>
          <w:i/>
          <w:vertAlign w:val="subscript"/>
        </w:rPr>
        <w:t>ref</w:t>
      </w:r>
      <w:proofErr w:type="spellEnd"/>
      <w:r>
        <w:t xml:space="preserve">  , m/s, apskaičiuojamas:</w:t>
      </w:r>
    </w:p>
    <w:p w14:paraId="47E6FE43" w14:textId="77777777" w:rsidR="007E1642" w:rsidRDefault="007E1642">
      <w:pPr>
        <w:ind w:firstLine="567"/>
        <w:jc w:val="both"/>
      </w:pPr>
    </w:p>
    <w:tbl>
      <w:tblPr>
        <w:tblW w:w="9070" w:type="dxa"/>
        <w:tblLayout w:type="fixed"/>
        <w:tblLook w:val="0000" w:firstRow="0" w:lastRow="0" w:firstColumn="0" w:lastColumn="0" w:noHBand="0" w:noVBand="0"/>
      </w:tblPr>
      <w:tblGrid>
        <w:gridCol w:w="7771"/>
        <w:gridCol w:w="1299"/>
      </w:tblGrid>
      <w:tr w:rsidR="007E1642" w14:paraId="47E6FE46" w14:textId="77777777">
        <w:tc>
          <w:tcPr>
            <w:tcW w:w="7920" w:type="dxa"/>
          </w:tcPr>
          <w:p w14:paraId="47E6FE44" w14:textId="77777777" w:rsidR="007E1642" w:rsidRDefault="00A17B39">
            <w:pPr>
              <w:tabs>
                <w:tab w:val="right" w:pos="9356"/>
              </w:tabs>
              <w:jc w:val="center"/>
            </w:pPr>
            <w:r>
              <w:rPr>
                <w:noProof/>
                <w:position w:val="-14"/>
                <w:lang w:eastAsia="lt-LT"/>
              </w:rPr>
              <w:drawing>
                <wp:inline distT="0" distB="0" distL="0" distR="0" wp14:anchorId="47E6FF0A" wp14:editId="47E6FF0B">
                  <wp:extent cx="2095500" cy="238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0" cy="238125"/>
                          </a:xfrm>
                          <a:prstGeom prst="rect">
                            <a:avLst/>
                          </a:prstGeom>
                          <a:noFill/>
                          <a:ln>
                            <a:noFill/>
                          </a:ln>
                        </pic:spPr>
                      </pic:pic>
                    </a:graphicData>
                  </a:graphic>
                </wp:inline>
              </w:drawing>
            </w:r>
            <w:proofErr w:type="spellStart"/>
            <w:r>
              <w:rPr>
                <w:vanish/>
                <w:position w:val="-14"/>
              </w:rPr>
              <w:t>v</w:t>
            </w:r>
            <w:r>
              <w:rPr>
                <w:vanish/>
                <w:position w:val="-14"/>
                <w:vertAlign w:val="subscript"/>
              </w:rPr>
              <w:t>ref</w:t>
            </w:r>
            <w:r>
              <w:rPr>
                <w:vanish/>
                <w:position w:val="-14"/>
              </w:rPr>
              <w:t>=c</w:t>
            </w:r>
            <w:r>
              <w:rPr>
                <w:vanish/>
                <w:position w:val="-14"/>
                <w:vertAlign w:val="subscript"/>
              </w:rPr>
              <w:t>DIR</w:t>
            </w:r>
            <w:proofErr w:type="spellEnd"/>
            <w:r>
              <w:rPr>
                <w:vanish/>
                <w:position w:val="-14"/>
              </w:rPr>
              <w:t>*</w:t>
            </w:r>
            <w:proofErr w:type="spellStart"/>
            <w:r>
              <w:rPr>
                <w:vanish/>
                <w:position w:val="-14"/>
              </w:rPr>
              <w:t>c</w:t>
            </w:r>
            <w:r>
              <w:rPr>
                <w:vanish/>
                <w:position w:val="-14"/>
                <w:vertAlign w:val="subscript"/>
              </w:rPr>
              <w:t>TEM</w:t>
            </w:r>
            <w:proofErr w:type="spellEnd"/>
            <w:r>
              <w:rPr>
                <w:vanish/>
                <w:position w:val="-14"/>
              </w:rPr>
              <w:t>*</w:t>
            </w:r>
            <w:proofErr w:type="spellStart"/>
            <w:r>
              <w:rPr>
                <w:vanish/>
                <w:position w:val="-14"/>
              </w:rPr>
              <w:t>c</w:t>
            </w:r>
            <w:r>
              <w:rPr>
                <w:vanish/>
                <w:position w:val="-14"/>
                <w:vertAlign w:val="subscript"/>
              </w:rPr>
              <w:t>ALT</w:t>
            </w:r>
            <w:proofErr w:type="spellEnd"/>
            <w:r>
              <w:rPr>
                <w:vanish/>
                <w:position w:val="-14"/>
              </w:rPr>
              <w:t>*v</w:t>
            </w:r>
            <w:r>
              <w:rPr>
                <w:vanish/>
                <w:position w:val="-14"/>
                <w:vertAlign w:val="subscript"/>
              </w:rPr>
              <w:t>ref,0</w:t>
            </w:r>
            <w:r>
              <w:t>,</w:t>
            </w:r>
          </w:p>
        </w:tc>
        <w:tc>
          <w:tcPr>
            <w:tcW w:w="1320" w:type="dxa"/>
            <w:vAlign w:val="center"/>
          </w:tcPr>
          <w:p w14:paraId="47E6FE45" w14:textId="77777777" w:rsidR="007E1642" w:rsidRDefault="00A17B39">
            <w:pPr>
              <w:tabs>
                <w:tab w:val="right" w:pos="9356"/>
              </w:tabs>
              <w:jc w:val="right"/>
            </w:pPr>
            <w:r>
              <w:t>(1.3)</w:t>
            </w:r>
          </w:p>
        </w:tc>
      </w:tr>
    </w:tbl>
    <w:p w14:paraId="47E6FE47" w14:textId="77777777" w:rsidR="007E1642" w:rsidRDefault="007E1642"/>
    <w:p w14:paraId="47E6FE48" w14:textId="77777777" w:rsidR="007E1642" w:rsidRDefault="00A17B39">
      <w:pPr>
        <w:jc w:val="both"/>
      </w:pPr>
      <w:r>
        <w:t xml:space="preserve">čia: </w:t>
      </w:r>
    </w:p>
    <w:p w14:paraId="47E6FE49" w14:textId="77777777" w:rsidR="007E1642" w:rsidRDefault="00A17B39">
      <w:pPr>
        <w:ind w:firstLine="567"/>
        <w:jc w:val="both"/>
      </w:pPr>
      <w:r>
        <w:rPr>
          <w:i/>
        </w:rPr>
        <w:t>v</w:t>
      </w:r>
      <w:r>
        <w:rPr>
          <w:i/>
          <w:vertAlign w:val="subscript"/>
        </w:rPr>
        <w:t>ref,0</w:t>
      </w:r>
      <w:r>
        <w:t xml:space="preserve"> – vėjo greičio pagrindinė atskaitinė vertė, m/s. Nustatoma iš 1.1 lentelės;</w:t>
      </w:r>
    </w:p>
    <w:p w14:paraId="47E6FE4A" w14:textId="77777777" w:rsidR="007E1642" w:rsidRDefault="00A17B39">
      <w:pPr>
        <w:tabs>
          <w:tab w:val="left" w:pos="360"/>
        </w:tabs>
        <w:ind w:firstLine="567"/>
        <w:jc w:val="both"/>
      </w:pPr>
      <w:proofErr w:type="spellStart"/>
      <w:r>
        <w:rPr>
          <w:i/>
        </w:rPr>
        <w:t>c</w:t>
      </w:r>
      <w:r>
        <w:rPr>
          <w:i/>
          <w:vertAlign w:val="subscript"/>
        </w:rPr>
        <w:t>DIR</w:t>
      </w:r>
      <w:proofErr w:type="spellEnd"/>
      <w:r>
        <w:t xml:space="preserve"> – krypties koeficientas. Paprastai </w:t>
      </w:r>
      <w:proofErr w:type="spellStart"/>
      <w:r>
        <w:rPr>
          <w:i/>
        </w:rPr>
        <w:t>c</w:t>
      </w:r>
      <w:r>
        <w:rPr>
          <w:vertAlign w:val="subscript"/>
        </w:rPr>
        <w:t>DIR</w:t>
      </w:r>
      <w:proofErr w:type="spellEnd"/>
      <w:r>
        <w:t xml:space="preserve"> = 1,0. Jei duomenys apie pastato dislokacijos vietą išsamiai įvertina vėjo poveikius, koeficiento vertė g</w:t>
      </w:r>
      <w:r>
        <w:t>ali būti koreguojama pagal 1.2 lentelės duomenis;</w:t>
      </w:r>
    </w:p>
    <w:p w14:paraId="47E6FE4B" w14:textId="77777777" w:rsidR="007E1642" w:rsidRDefault="00A17B39">
      <w:pPr>
        <w:ind w:firstLine="567"/>
        <w:jc w:val="both"/>
      </w:pPr>
      <w:proofErr w:type="spellStart"/>
      <w:r>
        <w:rPr>
          <w:i/>
        </w:rPr>
        <w:t>c</w:t>
      </w:r>
      <w:r>
        <w:rPr>
          <w:i/>
          <w:vertAlign w:val="subscript"/>
        </w:rPr>
        <w:t>TEM</w:t>
      </w:r>
      <w:proofErr w:type="spellEnd"/>
      <w:r>
        <w:t xml:space="preserve"> – laikotarpio (sezono) koeficientas, lygus 1,0;</w:t>
      </w:r>
    </w:p>
    <w:p w14:paraId="47E6FE4C" w14:textId="77777777" w:rsidR="007E1642" w:rsidRDefault="00A17B39">
      <w:pPr>
        <w:tabs>
          <w:tab w:val="left" w:pos="360"/>
        </w:tabs>
        <w:ind w:firstLine="567"/>
        <w:jc w:val="both"/>
      </w:pPr>
      <w:proofErr w:type="spellStart"/>
      <w:r>
        <w:rPr>
          <w:i/>
        </w:rPr>
        <w:t>c</w:t>
      </w:r>
      <w:r>
        <w:rPr>
          <w:i/>
          <w:vertAlign w:val="subscript"/>
        </w:rPr>
        <w:t>ALT</w:t>
      </w:r>
      <w:proofErr w:type="spellEnd"/>
      <w:r>
        <w:t xml:space="preserve"> – aukščio virš jūros lygio koeficientas. Koeficiento </w:t>
      </w:r>
      <w:proofErr w:type="spellStart"/>
      <w:r>
        <w:rPr>
          <w:i/>
        </w:rPr>
        <w:t>c</w:t>
      </w:r>
      <w:r>
        <w:rPr>
          <w:vertAlign w:val="subscript"/>
        </w:rPr>
        <w:t>ALT</w:t>
      </w:r>
      <w:proofErr w:type="spellEnd"/>
      <w:r>
        <w:t xml:space="preserve"> vertė visai Lietuvos teritorijai vienoda: </w:t>
      </w:r>
      <w:proofErr w:type="spellStart"/>
      <w:r>
        <w:rPr>
          <w:i/>
        </w:rPr>
        <w:t>c</w:t>
      </w:r>
      <w:r>
        <w:rPr>
          <w:vertAlign w:val="subscript"/>
        </w:rPr>
        <w:t>ALT</w:t>
      </w:r>
      <w:proofErr w:type="spellEnd"/>
      <w:r>
        <w:rPr>
          <w:vertAlign w:val="subscript"/>
        </w:rPr>
        <w:t xml:space="preserve"> </w:t>
      </w:r>
      <w:r>
        <w:t>= 1,0.</w:t>
      </w:r>
    </w:p>
    <w:p w14:paraId="47E6FE4D" w14:textId="77777777" w:rsidR="007E1642" w:rsidRDefault="007E1642">
      <w:pPr>
        <w:tabs>
          <w:tab w:val="left" w:pos="360"/>
        </w:tabs>
        <w:ind w:firstLine="567"/>
        <w:jc w:val="both"/>
        <w:rPr>
          <w:b/>
        </w:rPr>
      </w:pPr>
    </w:p>
    <w:p w14:paraId="47E6FE4E" w14:textId="77777777" w:rsidR="007E1642" w:rsidRDefault="00A17B39">
      <w:pPr>
        <w:jc w:val="right"/>
      </w:pPr>
      <w:r>
        <w:t>1.1</w:t>
      </w:r>
      <w:r>
        <w:t xml:space="preserve"> lentelė</w:t>
      </w:r>
    </w:p>
    <w:p w14:paraId="47E6FE4F" w14:textId="77777777" w:rsidR="007E1642" w:rsidRDefault="007E1642">
      <w:pPr>
        <w:jc w:val="right"/>
      </w:pPr>
    </w:p>
    <w:p w14:paraId="47E6FE50" w14:textId="77777777" w:rsidR="007E1642" w:rsidRDefault="00A17B39">
      <w:pPr>
        <w:jc w:val="center"/>
        <w:rPr>
          <w:b/>
          <w:i/>
          <w:vertAlign w:val="subscript"/>
        </w:rPr>
      </w:pPr>
      <w:r>
        <w:rPr>
          <w:b/>
        </w:rPr>
        <w:t xml:space="preserve">Vėjo greičio pagrindinės atskaitinės vertės </w:t>
      </w:r>
      <w:r>
        <w:rPr>
          <w:b/>
          <w:i/>
        </w:rPr>
        <w:t>v</w:t>
      </w:r>
      <w:r>
        <w:rPr>
          <w:b/>
          <w:i/>
          <w:vertAlign w:val="subscript"/>
        </w:rPr>
        <w:t>ref,0</w:t>
      </w:r>
    </w:p>
    <w:p w14:paraId="47E6FE51" w14:textId="77777777" w:rsidR="007E1642" w:rsidRDefault="007E1642">
      <w:pPr>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5179"/>
        <w:gridCol w:w="1534"/>
      </w:tblGrid>
      <w:tr w:rsidR="007E1642" w14:paraId="47E6FE55" w14:textId="77777777">
        <w:trPr>
          <w:trHeight w:val="20"/>
        </w:trPr>
        <w:tc>
          <w:tcPr>
            <w:tcW w:w="2400" w:type="dxa"/>
            <w:vAlign w:val="center"/>
          </w:tcPr>
          <w:p w14:paraId="47E6FE52" w14:textId="77777777" w:rsidR="007E1642" w:rsidRDefault="00A17B39">
            <w:pPr>
              <w:jc w:val="center"/>
            </w:pPr>
            <w:r>
              <w:t>Vėjo apkrovos rajonas</w:t>
            </w:r>
          </w:p>
        </w:tc>
        <w:tc>
          <w:tcPr>
            <w:tcW w:w="5280" w:type="dxa"/>
            <w:vAlign w:val="center"/>
          </w:tcPr>
          <w:p w14:paraId="47E6FE53" w14:textId="77777777" w:rsidR="007E1642" w:rsidRDefault="00A17B39">
            <w:pPr>
              <w:jc w:val="center"/>
            </w:pPr>
            <w:r>
              <w:t>Vėjo apkrovos rajonui priskiriama Lietuvos teritorijos dalis</w:t>
            </w:r>
          </w:p>
        </w:tc>
        <w:tc>
          <w:tcPr>
            <w:tcW w:w="1560" w:type="dxa"/>
            <w:vAlign w:val="center"/>
          </w:tcPr>
          <w:p w14:paraId="47E6FE54" w14:textId="77777777" w:rsidR="007E1642" w:rsidRDefault="00A17B39">
            <w:pPr>
              <w:jc w:val="center"/>
            </w:pPr>
            <w:r>
              <w:rPr>
                <w:i/>
              </w:rPr>
              <w:t>v</w:t>
            </w:r>
            <w:r>
              <w:rPr>
                <w:i/>
                <w:vertAlign w:val="subscript"/>
              </w:rPr>
              <w:t>ref,0</w:t>
            </w:r>
            <w:r>
              <w:t>, m/s</w:t>
            </w:r>
          </w:p>
        </w:tc>
      </w:tr>
      <w:tr w:rsidR="007E1642" w14:paraId="47E6FE59" w14:textId="77777777">
        <w:trPr>
          <w:trHeight w:val="20"/>
        </w:trPr>
        <w:tc>
          <w:tcPr>
            <w:tcW w:w="2400" w:type="dxa"/>
          </w:tcPr>
          <w:p w14:paraId="47E6FE56" w14:textId="77777777" w:rsidR="007E1642" w:rsidRDefault="00A17B39">
            <w:pPr>
              <w:jc w:val="center"/>
            </w:pPr>
            <w:r>
              <w:t>III</w:t>
            </w:r>
          </w:p>
        </w:tc>
        <w:tc>
          <w:tcPr>
            <w:tcW w:w="5280" w:type="dxa"/>
          </w:tcPr>
          <w:p w14:paraId="47E6FE57" w14:textId="77777777" w:rsidR="007E1642" w:rsidRDefault="00A17B39">
            <w:pPr>
              <w:jc w:val="center"/>
            </w:pPr>
            <w:r>
              <w:t xml:space="preserve">Skuodo, Kretingos, Klaipėdos ir Šilutės rajonų, Palangos, Klaipėdos ir Neringos miestų </w:t>
            </w:r>
            <w:r>
              <w:lastRenderedPageBreak/>
              <w:t>savivaldybių te</w:t>
            </w:r>
            <w:r>
              <w:t>ritorijos</w:t>
            </w:r>
          </w:p>
        </w:tc>
        <w:tc>
          <w:tcPr>
            <w:tcW w:w="1560" w:type="dxa"/>
          </w:tcPr>
          <w:p w14:paraId="47E6FE58" w14:textId="77777777" w:rsidR="007E1642" w:rsidRDefault="00A17B39">
            <w:pPr>
              <w:jc w:val="center"/>
            </w:pPr>
            <w:r>
              <w:lastRenderedPageBreak/>
              <w:t>32</w:t>
            </w:r>
          </w:p>
        </w:tc>
      </w:tr>
      <w:tr w:rsidR="007E1642" w14:paraId="47E6FE5D" w14:textId="77777777">
        <w:trPr>
          <w:trHeight w:val="20"/>
        </w:trPr>
        <w:tc>
          <w:tcPr>
            <w:tcW w:w="2400" w:type="dxa"/>
          </w:tcPr>
          <w:p w14:paraId="47E6FE5A" w14:textId="77777777" w:rsidR="007E1642" w:rsidRDefault="00A17B39">
            <w:pPr>
              <w:jc w:val="center"/>
            </w:pPr>
            <w:r>
              <w:lastRenderedPageBreak/>
              <w:t>II</w:t>
            </w:r>
          </w:p>
        </w:tc>
        <w:tc>
          <w:tcPr>
            <w:tcW w:w="5280" w:type="dxa"/>
          </w:tcPr>
          <w:p w14:paraId="47E6FE5B" w14:textId="77777777" w:rsidR="007E1642" w:rsidRDefault="00A17B39">
            <w:pPr>
              <w:jc w:val="center"/>
            </w:pPr>
            <w:r>
              <w:t>Plungės ir Mažeikių rajonų savivaldybių teritorijos</w:t>
            </w:r>
          </w:p>
        </w:tc>
        <w:tc>
          <w:tcPr>
            <w:tcW w:w="1560" w:type="dxa"/>
          </w:tcPr>
          <w:p w14:paraId="47E6FE5C" w14:textId="77777777" w:rsidR="007E1642" w:rsidRDefault="00A17B39">
            <w:pPr>
              <w:jc w:val="center"/>
            </w:pPr>
            <w:r>
              <w:t>28</w:t>
            </w:r>
          </w:p>
        </w:tc>
      </w:tr>
      <w:tr w:rsidR="007E1642" w14:paraId="47E6FE61" w14:textId="77777777">
        <w:trPr>
          <w:trHeight w:val="20"/>
        </w:trPr>
        <w:tc>
          <w:tcPr>
            <w:tcW w:w="2400" w:type="dxa"/>
          </w:tcPr>
          <w:p w14:paraId="47E6FE5E" w14:textId="77777777" w:rsidR="007E1642" w:rsidRDefault="00A17B39">
            <w:pPr>
              <w:jc w:val="center"/>
            </w:pPr>
            <w:r>
              <w:t>I</w:t>
            </w:r>
          </w:p>
        </w:tc>
        <w:tc>
          <w:tcPr>
            <w:tcW w:w="5280" w:type="dxa"/>
          </w:tcPr>
          <w:p w14:paraId="47E6FE5F" w14:textId="77777777" w:rsidR="007E1642" w:rsidRDefault="00A17B39">
            <w:pPr>
              <w:jc w:val="center"/>
            </w:pPr>
            <w:r>
              <w:t>Likusi Lietuvos teritorijos dalis, t. y. III ir II vėjo apkrovos rajonams nepriskirta Lietuvos teritorija</w:t>
            </w:r>
          </w:p>
        </w:tc>
        <w:tc>
          <w:tcPr>
            <w:tcW w:w="1560" w:type="dxa"/>
          </w:tcPr>
          <w:p w14:paraId="47E6FE60" w14:textId="77777777" w:rsidR="007E1642" w:rsidRDefault="00A17B39">
            <w:pPr>
              <w:jc w:val="center"/>
            </w:pPr>
            <w:r>
              <w:t>24</w:t>
            </w:r>
          </w:p>
        </w:tc>
      </w:tr>
    </w:tbl>
    <w:p w14:paraId="47E6FE62" w14:textId="77777777" w:rsidR="007E1642" w:rsidRDefault="00A17B39">
      <w:pPr>
        <w:jc w:val="center"/>
        <w:rPr>
          <w:b/>
          <w:sz w:val="20"/>
        </w:rPr>
      </w:pPr>
    </w:p>
    <w:p w14:paraId="47E6FE63" w14:textId="77777777" w:rsidR="007E1642" w:rsidRDefault="00A17B39">
      <w:pPr>
        <w:jc w:val="right"/>
      </w:pPr>
      <w:r>
        <w:t>1.2</w:t>
      </w:r>
      <w:r>
        <w:t xml:space="preserve"> lentelė</w:t>
      </w:r>
    </w:p>
    <w:p w14:paraId="47E6FE64" w14:textId="77777777" w:rsidR="007E1642" w:rsidRDefault="007E1642">
      <w:pPr>
        <w:jc w:val="center"/>
      </w:pPr>
    </w:p>
    <w:p w14:paraId="47E6FE65" w14:textId="77777777" w:rsidR="007E1642" w:rsidRDefault="00A17B39">
      <w:pPr>
        <w:jc w:val="center"/>
        <w:rPr>
          <w:b/>
        </w:rPr>
      </w:pPr>
      <w:r>
        <w:rPr>
          <w:b/>
        </w:rPr>
        <w:t>Koeficiento</w:t>
      </w:r>
      <w:r>
        <w:rPr>
          <w:b/>
          <w:i/>
        </w:rPr>
        <w:t xml:space="preserve"> </w:t>
      </w:r>
      <w:proofErr w:type="spellStart"/>
      <w:r>
        <w:rPr>
          <w:b/>
          <w:i/>
        </w:rPr>
        <w:t>c</w:t>
      </w:r>
      <w:r>
        <w:rPr>
          <w:b/>
          <w:i/>
          <w:vertAlign w:val="subscript"/>
        </w:rPr>
        <w:t>DIR</w:t>
      </w:r>
      <w:proofErr w:type="spellEnd"/>
      <w:r>
        <w:rPr>
          <w:b/>
          <w:i/>
        </w:rPr>
        <w:t xml:space="preserve"> </w:t>
      </w:r>
      <w:r>
        <w:rPr>
          <w:b/>
        </w:rPr>
        <w:t>vertės</w:t>
      </w:r>
    </w:p>
    <w:p w14:paraId="47E6FE66" w14:textId="77777777" w:rsidR="007E1642" w:rsidRDefault="007E1642">
      <w:pPr>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619"/>
        <w:gridCol w:w="658"/>
        <w:gridCol w:w="595"/>
        <w:gridCol w:w="808"/>
        <w:gridCol w:w="652"/>
        <w:gridCol w:w="651"/>
        <w:gridCol w:w="777"/>
        <w:gridCol w:w="652"/>
        <w:gridCol w:w="651"/>
        <w:gridCol w:w="902"/>
        <w:gridCol w:w="651"/>
        <w:gridCol w:w="652"/>
      </w:tblGrid>
      <w:tr w:rsidR="007E1642" w14:paraId="47E6FE69" w14:textId="77777777">
        <w:trPr>
          <w:cantSplit/>
        </w:trPr>
        <w:tc>
          <w:tcPr>
            <w:tcW w:w="878" w:type="dxa"/>
            <w:vMerge w:val="restart"/>
          </w:tcPr>
          <w:p w14:paraId="47E6FE67" w14:textId="77777777" w:rsidR="007E1642" w:rsidRDefault="00A17B39">
            <w:pPr>
              <w:jc w:val="center"/>
            </w:pPr>
            <w:r>
              <w:t>Rajonas</w:t>
            </w:r>
          </w:p>
        </w:tc>
        <w:tc>
          <w:tcPr>
            <w:tcW w:w="9011" w:type="dxa"/>
            <w:gridSpan w:val="12"/>
          </w:tcPr>
          <w:p w14:paraId="47E6FE68" w14:textId="77777777" w:rsidR="007E1642" w:rsidRDefault="00A17B39">
            <w:pPr>
              <w:jc w:val="center"/>
            </w:pPr>
            <w:r>
              <w:t>Vėjo kryptis</w:t>
            </w:r>
          </w:p>
        </w:tc>
      </w:tr>
      <w:tr w:rsidR="007E1642" w14:paraId="47E6FE77" w14:textId="77777777">
        <w:trPr>
          <w:cantSplit/>
        </w:trPr>
        <w:tc>
          <w:tcPr>
            <w:tcW w:w="878" w:type="dxa"/>
            <w:vMerge/>
          </w:tcPr>
          <w:p w14:paraId="47E6FE6A" w14:textId="77777777" w:rsidR="007E1642" w:rsidRDefault="007E1642">
            <w:pPr>
              <w:jc w:val="center"/>
            </w:pPr>
          </w:p>
        </w:tc>
        <w:tc>
          <w:tcPr>
            <w:tcW w:w="670" w:type="dxa"/>
          </w:tcPr>
          <w:p w14:paraId="47E6FE6B" w14:textId="77777777" w:rsidR="007E1642" w:rsidRDefault="00A17B39">
            <w:r>
              <w:t>0</w:t>
            </w:r>
            <w:r>
              <w:rPr>
                <w:vertAlign w:val="superscript"/>
              </w:rPr>
              <w:t>0</w:t>
            </w:r>
            <w:r>
              <w:t xml:space="preserve"> Š</w:t>
            </w:r>
          </w:p>
        </w:tc>
        <w:tc>
          <w:tcPr>
            <w:tcW w:w="716" w:type="dxa"/>
          </w:tcPr>
          <w:p w14:paraId="47E6FE6C" w14:textId="77777777" w:rsidR="007E1642" w:rsidRDefault="00A17B39">
            <w:pPr>
              <w:rPr>
                <w:vertAlign w:val="superscript"/>
              </w:rPr>
            </w:pPr>
            <w:r>
              <w:t>30</w:t>
            </w:r>
            <w:r>
              <w:rPr>
                <w:vertAlign w:val="superscript"/>
              </w:rPr>
              <w:t>0</w:t>
            </w:r>
          </w:p>
        </w:tc>
        <w:tc>
          <w:tcPr>
            <w:tcW w:w="644" w:type="dxa"/>
          </w:tcPr>
          <w:p w14:paraId="47E6FE6D" w14:textId="77777777" w:rsidR="007E1642" w:rsidRDefault="00A17B39">
            <w:pPr>
              <w:rPr>
                <w:vertAlign w:val="superscript"/>
              </w:rPr>
            </w:pPr>
            <w:r>
              <w:t>60</w:t>
            </w:r>
            <w:r>
              <w:rPr>
                <w:vertAlign w:val="superscript"/>
              </w:rPr>
              <w:t>0</w:t>
            </w:r>
          </w:p>
        </w:tc>
        <w:tc>
          <w:tcPr>
            <w:tcW w:w="886" w:type="dxa"/>
          </w:tcPr>
          <w:p w14:paraId="47E6FE6E" w14:textId="77777777" w:rsidR="007E1642" w:rsidRDefault="00A17B39">
            <w:r>
              <w:t>90</w:t>
            </w:r>
            <w:r>
              <w:rPr>
                <w:vertAlign w:val="superscript"/>
              </w:rPr>
              <w:t>0</w:t>
            </w:r>
            <w:r>
              <w:t xml:space="preserve"> R</w:t>
            </w:r>
          </w:p>
        </w:tc>
        <w:tc>
          <w:tcPr>
            <w:tcW w:w="709" w:type="dxa"/>
          </w:tcPr>
          <w:p w14:paraId="47E6FE6F" w14:textId="77777777" w:rsidR="007E1642" w:rsidRDefault="00A17B39">
            <w:pPr>
              <w:rPr>
                <w:vertAlign w:val="superscript"/>
              </w:rPr>
            </w:pPr>
            <w:r>
              <w:t>120</w:t>
            </w:r>
            <w:r>
              <w:rPr>
                <w:vertAlign w:val="superscript"/>
              </w:rPr>
              <w:t>0</w:t>
            </w:r>
          </w:p>
        </w:tc>
        <w:tc>
          <w:tcPr>
            <w:tcW w:w="708" w:type="dxa"/>
          </w:tcPr>
          <w:p w14:paraId="47E6FE70" w14:textId="77777777" w:rsidR="007E1642" w:rsidRDefault="00A17B39">
            <w:pPr>
              <w:rPr>
                <w:vertAlign w:val="superscript"/>
              </w:rPr>
            </w:pPr>
            <w:r>
              <w:t>150</w:t>
            </w:r>
            <w:r>
              <w:rPr>
                <w:vertAlign w:val="superscript"/>
              </w:rPr>
              <w:t>0</w:t>
            </w:r>
          </w:p>
        </w:tc>
        <w:tc>
          <w:tcPr>
            <w:tcW w:w="851" w:type="dxa"/>
          </w:tcPr>
          <w:p w14:paraId="47E6FE71" w14:textId="77777777" w:rsidR="007E1642" w:rsidRDefault="00A17B39">
            <w:r>
              <w:t>180</w:t>
            </w:r>
            <w:r>
              <w:rPr>
                <w:vertAlign w:val="superscript"/>
              </w:rPr>
              <w:t>0</w:t>
            </w:r>
            <w:r>
              <w:t xml:space="preserve"> P</w:t>
            </w:r>
          </w:p>
        </w:tc>
        <w:tc>
          <w:tcPr>
            <w:tcW w:w="709" w:type="dxa"/>
          </w:tcPr>
          <w:p w14:paraId="47E6FE72" w14:textId="77777777" w:rsidR="007E1642" w:rsidRDefault="00A17B39">
            <w:pPr>
              <w:rPr>
                <w:vertAlign w:val="superscript"/>
              </w:rPr>
            </w:pPr>
            <w:r>
              <w:t>210</w:t>
            </w:r>
            <w:r>
              <w:rPr>
                <w:vertAlign w:val="superscript"/>
              </w:rPr>
              <w:t>0</w:t>
            </w:r>
          </w:p>
        </w:tc>
        <w:tc>
          <w:tcPr>
            <w:tcW w:w="708" w:type="dxa"/>
          </w:tcPr>
          <w:p w14:paraId="47E6FE73" w14:textId="77777777" w:rsidR="007E1642" w:rsidRDefault="00A17B39">
            <w:pPr>
              <w:rPr>
                <w:vertAlign w:val="superscript"/>
              </w:rPr>
            </w:pPr>
            <w:r>
              <w:t>240</w:t>
            </w:r>
            <w:r>
              <w:rPr>
                <w:vertAlign w:val="superscript"/>
              </w:rPr>
              <w:t>0</w:t>
            </w:r>
          </w:p>
        </w:tc>
        <w:tc>
          <w:tcPr>
            <w:tcW w:w="993" w:type="dxa"/>
          </w:tcPr>
          <w:p w14:paraId="47E6FE74" w14:textId="77777777" w:rsidR="007E1642" w:rsidRDefault="00A17B39">
            <w:r>
              <w:t>270</w:t>
            </w:r>
            <w:r>
              <w:rPr>
                <w:vertAlign w:val="superscript"/>
              </w:rPr>
              <w:t>0</w:t>
            </w:r>
            <w:r>
              <w:t xml:space="preserve"> V</w:t>
            </w:r>
          </w:p>
        </w:tc>
        <w:tc>
          <w:tcPr>
            <w:tcW w:w="708" w:type="dxa"/>
          </w:tcPr>
          <w:p w14:paraId="47E6FE75" w14:textId="77777777" w:rsidR="007E1642" w:rsidRDefault="00A17B39">
            <w:pPr>
              <w:rPr>
                <w:vertAlign w:val="superscript"/>
              </w:rPr>
            </w:pPr>
            <w:r>
              <w:t>300</w:t>
            </w:r>
            <w:r>
              <w:rPr>
                <w:vertAlign w:val="superscript"/>
              </w:rPr>
              <w:t>0</w:t>
            </w:r>
          </w:p>
        </w:tc>
        <w:tc>
          <w:tcPr>
            <w:tcW w:w="709" w:type="dxa"/>
          </w:tcPr>
          <w:p w14:paraId="47E6FE76" w14:textId="77777777" w:rsidR="007E1642" w:rsidRDefault="00A17B39">
            <w:pPr>
              <w:rPr>
                <w:vertAlign w:val="superscript"/>
              </w:rPr>
            </w:pPr>
            <w:r>
              <w:t>330</w:t>
            </w:r>
            <w:r>
              <w:rPr>
                <w:vertAlign w:val="superscript"/>
              </w:rPr>
              <w:t>0</w:t>
            </w:r>
          </w:p>
        </w:tc>
      </w:tr>
      <w:tr w:rsidR="007E1642" w14:paraId="47E6FE85" w14:textId="77777777">
        <w:tc>
          <w:tcPr>
            <w:tcW w:w="878" w:type="dxa"/>
          </w:tcPr>
          <w:p w14:paraId="47E6FE78" w14:textId="77777777" w:rsidR="007E1642" w:rsidRDefault="00A17B39">
            <w:pPr>
              <w:jc w:val="center"/>
            </w:pPr>
            <w:r>
              <w:t>I</w:t>
            </w:r>
          </w:p>
        </w:tc>
        <w:tc>
          <w:tcPr>
            <w:tcW w:w="670" w:type="dxa"/>
          </w:tcPr>
          <w:p w14:paraId="47E6FE79" w14:textId="77777777" w:rsidR="007E1642" w:rsidRDefault="00A17B39">
            <w:r>
              <w:t>0,83</w:t>
            </w:r>
          </w:p>
        </w:tc>
        <w:tc>
          <w:tcPr>
            <w:tcW w:w="716" w:type="dxa"/>
          </w:tcPr>
          <w:p w14:paraId="47E6FE7A" w14:textId="77777777" w:rsidR="007E1642" w:rsidRDefault="00A17B39">
            <w:r>
              <w:t>0,81</w:t>
            </w:r>
          </w:p>
        </w:tc>
        <w:tc>
          <w:tcPr>
            <w:tcW w:w="644" w:type="dxa"/>
          </w:tcPr>
          <w:p w14:paraId="47E6FE7B" w14:textId="77777777" w:rsidR="007E1642" w:rsidRDefault="00A17B39">
            <w:r>
              <w:t>0,83</w:t>
            </w:r>
          </w:p>
        </w:tc>
        <w:tc>
          <w:tcPr>
            <w:tcW w:w="886" w:type="dxa"/>
          </w:tcPr>
          <w:p w14:paraId="47E6FE7C" w14:textId="77777777" w:rsidR="007E1642" w:rsidRDefault="00A17B39">
            <w:r>
              <w:t>0,85</w:t>
            </w:r>
          </w:p>
        </w:tc>
        <w:tc>
          <w:tcPr>
            <w:tcW w:w="709" w:type="dxa"/>
          </w:tcPr>
          <w:p w14:paraId="47E6FE7D" w14:textId="77777777" w:rsidR="007E1642" w:rsidRDefault="00A17B39">
            <w:r>
              <w:t>0,86</w:t>
            </w:r>
          </w:p>
        </w:tc>
        <w:tc>
          <w:tcPr>
            <w:tcW w:w="708" w:type="dxa"/>
          </w:tcPr>
          <w:p w14:paraId="47E6FE7E" w14:textId="77777777" w:rsidR="007E1642" w:rsidRDefault="00A17B39">
            <w:r>
              <w:t>0,86</w:t>
            </w:r>
          </w:p>
        </w:tc>
        <w:tc>
          <w:tcPr>
            <w:tcW w:w="851" w:type="dxa"/>
          </w:tcPr>
          <w:p w14:paraId="47E6FE7F" w14:textId="77777777" w:rsidR="007E1642" w:rsidRDefault="00A17B39">
            <w:r>
              <w:t>0,86</w:t>
            </w:r>
          </w:p>
        </w:tc>
        <w:tc>
          <w:tcPr>
            <w:tcW w:w="709" w:type="dxa"/>
          </w:tcPr>
          <w:p w14:paraId="47E6FE80" w14:textId="77777777" w:rsidR="007E1642" w:rsidRDefault="00A17B39">
            <w:r>
              <w:t>0,91</w:t>
            </w:r>
          </w:p>
        </w:tc>
        <w:tc>
          <w:tcPr>
            <w:tcW w:w="708" w:type="dxa"/>
          </w:tcPr>
          <w:p w14:paraId="47E6FE81" w14:textId="77777777" w:rsidR="007E1642" w:rsidRDefault="00A17B39">
            <w:r>
              <w:t>0,98</w:t>
            </w:r>
          </w:p>
        </w:tc>
        <w:tc>
          <w:tcPr>
            <w:tcW w:w="993" w:type="dxa"/>
          </w:tcPr>
          <w:p w14:paraId="47E6FE82" w14:textId="77777777" w:rsidR="007E1642" w:rsidRDefault="00A17B39">
            <w:r>
              <w:t>1,0</w:t>
            </w:r>
          </w:p>
        </w:tc>
        <w:tc>
          <w:tcPr>
            <w:tcW w:w="708" w:type="dxa"/>
          </w:tcPr>
          <w:p w14:paraId="47E6FE83" w14:textId="77777777" w:rsidR="007E1642" w:rsidRDefault="00A17B39">
            <w:r>
              <w:t>0,96</w:t>
            </w:r>
          </w:p>
        </w:tc>
        <w:tc>
          <w:tcPr>
            <w:tcW w:w="709" w:type="dxa"/>
          </w:tcPr>
          <w:p w14:paraId="47E6FE84" w14:textId="77777777" w:rsidR="007E1642" w:rsidRDefault="00A17B39">
            <w:r>
              <w:t>0,88</w:t>
            </w:r>
          </w:p>
        </w:tc>
      </w:tr>
      <w:tr w:rsidR="007E1642" w14:paraId="47E6FE93" w14:textId="77777777">
        <w:tc>
          <w:tcPr>
            <w:tcW w:w="878" w:type="dxa"/>
          </w:tcPr>
          <w:p w14:paraId="47E6FE86" w14:textId="77777777" w:rsidR="007E1642" w:rsidRDefault="00A17B39">
            <w:pPr>
              <w:jc w:val="center"/>
            </w:pPr>
            <w:r>
              <w:t>II</w:t>
            </w:r>
          </w:p>
        </w:tc>
        <w:tc>
          <w:tcPr>
            <w:tcW w:w="670" w:type="dxa"/>
          </w:tcPr>
          <w:p w14:paraId="47E6FE87" w14:textId="77777777" w:rsidR="007E1642" w:rsidRDefault="00A17B39">
            <w:r>
              <w:t>0,77</w:t>
            </w:r>
          </w:p>
        </w:tc>
        <w:tc>
          <w:tcPr>
            <w:tcW w:w="716" w:type="dxa"/>
          </w:tcPr>
          <w:p w14:paraId="47E6FE88" w14:textId="77777777" w:rsidR="007E1642" w:rsidRDefault="00A17B39">
            <w:r>
              <w:t>0,77</w:t>
            </w:r>
          </w:p>
        </w:tc>
        <w:tc>
          <w:tcPr>
            <w:tcW w:w="644" w:type="dxa"/>
          </w:tcPr>
          <w:p w14:paraId="47E6FE89" w14:textId="77777777" w:rsidR="007E1642" w:rsidRDefault="00A17B39">
            <w:r>
              <w:t>0,74</w:t>
            </w:r>
          </w:p>
        </w:tc>
        <w:tc>
          <w:tcPr>
            <w:tcW w:w="886" w:type="dxa"/>
          </w:tcPr>
          <w:p w14:paraId="47E6FE8A" w14:textId="77777777" w:rsidR="007E1642" w:rsidRDefault="00A17B39">
            <w:r>
              <w:t>0,78</w:t>
            </w:r>
          </w:p>
        </w:tc>
        <w:tc>
          <w:tcPr>
            <w:tcW w:w="709" w:type="dxa"/>
          </w:tcPr>
          <w:p w14:paraId="47E6FE8B" w14:textId="77777777" w:rsidR="007E1642" w:rsidRDefault="00A17B39">
            <w:r>
              <w:t>0,79</w:t>
            </w:r>
          </w:p>
        </w:tc>
        <w:tc>
          <w:tcPr>
            <w:tcW w:w="708" w:type="dxa"/>
          </w:tcPr>
          <w:p w14:paraId="47E6FE8C" w14:textId="77777777" w:rsidR="007E1642" w:rsidRDefault="00A17B39">
            <w:r>
              <w:t>0,83</w:t>
            </w:r>
          </w:p>
        </w:tc>
        <w:tc>
          <w:tcPr>
            <w:tcW w:w="851" w:type="dxa"/>
          </w:tcPr>
          <w:p w14:paraId="47E6FE8D" w14:textId="77777777" w:rsidR="007E1642" w:rsidRDefault="00A17B39">
            <w:r>
              <w:t>0,85</w:t>
            </w:r>
          </w:p>
        </w:tc>
        <w:tc>
          <w:tcPr>
            <w:tcW w:w="709" w:type="dxa"/>
          </w:tcPr>
          <w:p w14:paraId="47E6FE8E" w14:textId="77777777" w:rsidR="007E1642" w:rsidRDefault="00A17B39">
            <w:r>
              <w:t>0,91</w:t>
            </w:r>
          </w:p>
        </w:tc>
        <w:tc>
          <w:tcPr>
            <w:tcW w:w="708" w:type="dxa"/>
          </w:tcPr>
          <w:p w14:paraId="47E6FE8F" w14:textId="77777777" w:rsidR="007E1642" w:rsidRDefault="00A17B39">
            <w:r>
              <w:t>0,99</w:t>
            </w:r>
          </w:p>
        </w:tc>
        <w:tc>
          <w:tcPr>
            <w:tcW w:w="993" w:type="dxa"/>
          </w:tcPr>
          <w:p w14:paraId="47E6FE90" w14:textId="77777777" w:rsidR="007E1642" w:rsidRDefault="00A17B39">
            <w:r>
              <w:t>1,0</w:t>
            </w:r>
          </w:p>
        </w:tc>
        <w:tc>
          <w:tcPr>
            <w:tcW w:w="708" w:type="dxa"/>
          </w:tcPr>
          <w:p w14:paraId="47E6FE91" w14:textId="77777777" w:rsidR="007E1642" w:rsidRDefault="00A17B39">
            <w:r>
              <w:t>0,95</w:t>
            </w:r>
          </w:p>
        </w:tc>
        <w:tc>
          <w:tcPr>
            <w:tcW w:w="709" w:type="dxa"/>
          </w:tcPr>
          <w:p w14:paraId="47E6FE92" w14:textId="77777777" w:rsidR="007E1642" w:rsidRDefault="00A17B39">
            <w:r>
              <w:t>0,84</w:t>
            </w:r>
          </w:p>
        </w:tc>
      </w:tr>
      <w:tr w:rsidR="007E1642" w14:paraId="47E6FEA1" w14:textId="77777777">
        <w:tc>
          <w:tcPr>
            <w:tcW w:w="878" w:type="dxa"/>
          </w:tcPr>
          <w:p w14:paraId="47E6FE94" w14:textId="77777777" w:rsidR="007E1642" w:rsidRDefault="00A17B39">
            <w:pPr>
              <w:jc w:val="center"/>
            </w:pPr>
            <w:r>
              <w:t>III</w:t>
            </w:r>
          </w:p>
        </w:tc>
        <w:tc>
          <w:tcPr>
            <w:tcW w:w="670" w:type="dxa"/>
          </w:tcPr>
          <w:p w14:paraId="47E6FE95" w14:textId="77777777" w:rsidR="007E1642" w:rsidRDefault="00A17B39">
            <w:r>
              <w:t>0,71</w:t>
            </w:r>
          </w:p>
        </w:tc>
        <w:tc>
          <w:tcPr>
            <w:tcW w:w="716" w:type="dxa"/>
          </w:tcPr>
          <w:p w14:paraId="47E6FE96" w14:textId="77777777" w:rsidR="007E1642" w:rsidRDefault="00A17B39">
            <w:r>
              <w:t>0,69</w:t>
            </w:r>
          </w:p>
        </w:tc>
        <w:tc>
          <w:tcPr>
            <w:tcW w:w="644" w:type="dxa"/>
          </w:tcPr>
          <w:p w14:paraId="47E6FE97" w14:textId="77777777" w:rsidR="007E1642" w:rsidRDefault="00A17B39">
            <w:r>
              <w:t>0,68</w:t>
            </w:r>
          </w:p>
        </w:tc>
        <w:tc>
          <w:tcPr>
            <w:tcW w:w="886" w:type="dxa"/>
          </w:tcPr>
          <w:p w14:paraId="47E6FE98" w14:textId="77777777" w:rsidR="007E1642" w:rsidRDefault="00A17B39">
            <w:r>
              <w:t>0,70</w:t>
            </w:r>
          </w:p>
        </w:tc>
        <w:tc>
          <w:tcPr>
            <w:tcW w:w="709" w:type="dxa"/>
          </w:tcPr>
          <w:p w14:paraId="47E6FE99" w14:textId="77777777" w:rsidR="007E1642" w:rsidRDefault="00A17B39">
            <w:r>
              <w:t>0,73</w:t>
            </w:r>
          </w:p>
        </w:tc>
        <w:tc>
          <w:tcPr>
            <w:tcW w:w="708" w:type="dxa"/>
          </w:tcPr>
          <w:p w14:paraId="47E6FE9A" w14:textId="77777777" w:rsidR="007E1642" w:rsidRDefault="00A17B39">
            <w:r>
              <w:t>0,80</w:t>
            </w:r>
          </w:p>
        </w:tc>
        <w:tc>
          <w:tcPr>
            <w:tcW w:w="851" w:type="dxa"/>
          </w:tcPr>
          <w:p w14:paraId="47E6FE9B" w14:textId="77777777" w:rsidR="007E1642" w:rsidRDefault="00A17B39">
            <w:r>
              <w:t>0,84</w:t>
            </w:r>
          </w:p>
        </w:tc>
        <w:tc>
          <w:tcPr>
            <w:tcW w:w="709" w:type="dxa"/>
          </w:tcPr>
          <w:p w14:paraId="47E6FE9C" w14:textId="77777777" w:rsidR="007E1642" w:rsidRDefault="00A17B39">
            <w:r>
              <w:t>0,91</w:t>
            </w:r>
          </w:p>
        </w:tc>
        <w:tc>
          <w:tcPr>
            <w:tcW w:w="708" w:type="dxa"/>
          </w:tcPr>
          <w:p w14:paraId="47E6FE9D" w14:textId="77777777" w:rsidR="007E1642" w:rsidRDefault="00A17B39">
            <w:r>
              <w:t>0,99</w:t>
            </w:r>
          </w:p>
        </w:tc>
        <w:tc>
          <w:tcPr>
            <w:tcW w:w="993" w:type="dxa"/>
          </w:tcPr>
          <w:p w14:paraId="47E6FE9E" w14:textId="77777777" w:rsidR="007E1642" w:rsidRDefault="00A17B39">
            <w:r>
              <w:t>1,0</w:t>
            </w:r>
          </w:p>
        </w:tc>
        <w:tc>
          <w:tcPr>
            <w:tcW w:w="708" w:type="dxa"/>
          </w:tcPr>
          <w:p w14:paraId="47E6FE9F" w14:textId="77777777" w:rsidR="007E1642" w:rsidRDefault="00A17B39">
            <w:r>
              <w:t>0,94</w:t>
            </w:r>
          </w:p>
        </w:tc>
        <w:tc>
          <w:tcPr>
            <w:tcW w:w="709" w:type="dxa"/>
          </w:tcPr>
          <w:p w14:paraId="47E6FEA0" w14:textId="77777777" w:rsidR="007E1642" w:rsidRDefault="00A17B39">
            <w:r>
              <w:t>0,80</w:t>
            </w:r>
          </w:p>
        </w:tc>
      </w:tr>
    </w:tbl>
    <w:p w14:paraId="47E6FEA2" w14:textId="77777777" w:rsidR="007E1642" w:rsidRDefault="00A17B39">
      <w:pPr>
        <w:jc w:val="center"/>
        <w:rPr>
          <w:sz w:val="20"/>
        </w:rPr>
      </w:pPr>
    </w:p>
    <w:p w14:paraId="47E6FEA3" w14:textId="77777777" w:rsidR="007E1642" w:rsidRDefault="00A17B39">
      <w:pPr>
        <w:jc w:val="right"/>
      </w:pPr>
      <w:r>
        <w:t>1.3</w:t>
      </w:r>
      <w:r>
        <w:t xml:space="preserve"> lentelė</w:t>
      </w:r>
    </w:p>
    <w:p w14:paraId="47E6FEA4" w14:textId="77777777" w:rsidR="007E1642" w:rsidRDefault="007E1642">
      <w:pPr>
        <w:jc w:val="center"/>
      </w:pPr>
    </w:p>
    <w:p w14:paraId="47E6FEA5" w14:textId="77777777" w:rsidR="007E1642" w:rsidRDefault="00A17B39">
      <w:pPr>
        <w:jc w:val="center"/>
        <w:rPr>
          <w:b/>
        </w:rPr>
      </w:pPr>
      <w:r>
        <w:rPr>
          <w:b/>
        </w:rPr>
        <w:t>Vietovės tipai</w:t>
      </w:r>
    </w:p>
    <w:p w14:paraId="47E6FEA6" w14:textId="77777777" w:rsidR="007E1642" w:rsidRDefault="007E1642">
      <w:pPr>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3097"/>
        <w:gridCol w:w="2994"/>
      </w:tblGrid>
      <w:tr w:rsidR="007E1642" w14:paraId="47E6FEAA" w14:textId="77777777">
        <w:tc>
          <w:tcPr>
            <w:tcW w:w="3056" w:type="dxa"/>
          </w:tcPr>
          <w:p w14:paraId="47E6FEA7" w14:textId="77777777" w:rsidR="007E1642" w:rsidRDefault="00A17B39">
            <w:pPr>
              <w:jc w:val="center"/>
              <w:rPr>
                <w:b/>
              </w:rPr>
            </w:pPr>
            <w:r>
              <w:rPr>
                <w:b/>
              </w:rPr>
              <w:t>A</w:t>
            </w:r>
          </w:p>
        </w:tc>
        <w:tc>
          <w:tcPr>
            <w:tcW w:w="3167" w:type="dxa"/>
          </w:tcPr>
          <w:p w14:paraId="47E6FEA8" w14:textId="77777777" w:rsidR="007E1642" w:rsidRDefault="00A17B39">
            <w:pPr>
              <w:jc w:val="center"/>
              <w:rPr>
                <w:b/>
              </w:rPr>
            </w:pPr>
            <w:r>
              <w:rPr>
                <w:b/>
              </w:rPr>
              <w:t>B</w:t>
            </w:r>
          </w:p>
        </w:tc>
        <w:tc>
          <w:tcPr>
            <w:tcW w:w="3065" w:type="dxa"/>
          </w:tcPr>
          <w:p w14:paraId="47E6FEA9" w14:textId="77777777" w:rsidR="007E1642" w:rsidRDefault="00A17B39">
            <w:pPr>
              <w:jc w:val="center"/>
              <w:rPr>
                <w:b/>
              </w:rPr>
            </w:pPr>
            <w:r>
              <w:rPr>
                <w:b/>
              </w:rPr>
              <w:t>C</w:t>
            </w:r>
          </w:p>
        </w:tc>
      </w:tr>
      <w:tr w:rsidR="007E1642" w14:paraId="47E6FEAE" w14:textId="77777777">
        <w:tc>
          <w:tcPr>
            <w:tcW w:w="3056" w:type="dxa"/>
            <w:vAlign w:val="center"/>
          </w:tcPr>
          <w:p w14:paraId="47E6FEAB" w14:textId="77777777" w:rsidR="007E1642" w:rsidRDefault="00A17B39">
            <w:pPr>
              <w:jc w:val="center"/>
            </w:pPr>
            <w:r>
              <w:t>Atviros jūrų pakrantės, ežerų ir vandens saugyklų pakrantės</w:t>
            </w:r>
          </w:p>
        </w:tc>
        <w:tc>
          <w:tcPr>
            <w:tcW w:w="3167" w:type="dxa"/>
            <w:vAlign w:val="center"/>
          </w:tcPr>
          <w:p w14:paraId="47E6FEAC" w14:textId="77777777" w:rsidR="007E1642" w:rsidRDefault="00A17B39">
            <w:pPr>
              <w:jc w:val="center"/>
            </w:pPr>
            <w:r>
              <w:t>Miestų teritorijos, miškų masyvai ir kitos vietovės, kurios yra tolygiai užstatytos aukštesnėmis kaip 10 m kliūtimis</w:t>
            </w:r>
          </w:p>
        </w:tc>
        <w:tc>
          <w:tcPr>
            <w:tcW w:w="3065" w:type="dxa"/>
            <w:vAlign w:val="center"/>
          </w:tcPr>
          <w:p w14:paraId="47E6FEAD" w14:textId="77777777" w:rsidR="007E1642" w:rsidRDefault="00A17B39">
            <w:pPr>
              <w:jc w:val="center"/>
            </w:pPr>
            <w:r>
              <w:t xml:space="preserve">Miestų rajonai, užstatyti aukštesniais </w:t>
            </w:r>
            <w:r>
              <w:t>kaip 25 m statiniais</w:t>
            </w:r>
          </w:p>
        </w:tc>
      </w:tr>
    </w:tbl>
    <w:p w14:paraId="47E6FEAF" w14:textId="77777777" w:rsidR="007E1642" w:rsidRDefault="00A17B39">
      <w:pPr>
        <w:ind w:firstLine="567"/>
        <w:jc w:val="both"/>
      </w:pPr>
    </w:p>
    <w:p w14:paraId="47E6FEB0" w14:textId="77777777" w:rsidR="007E1642" w:rsidRDefault="00A17B39">
      <w:pPr>
        <w:widowControl w:val="0"/>
        <w:ind w:firstLine="567"/>
        <w:jc w:val="both"/>
      </w:pPr>
      <w:r>
        <w:t>Pastaba. Kai statinio aukštis iki 60 m, laikoma, kad statiniai yra nurodyto tipo vietovėje, jeigu ši vietovė iš vyraujančio vėjo pusės tęsiasi 30 statinio aukščių atstumu iki statinio. Kai statinio aukštis didesnis negu 60 m, laiko</w:t>
      </w:r>
      <w:r>
        <w:t>ma, kad statiniai yra nurodyto tipo vietovėje, jeigu ši vietovė iš vyraujančio vėjo pusės tęsiasi 2 km atstumu iki statinio.</w:t>
      </w:r>
    </w:p>
    <w:p w14:paraId="47E6FEB1" w14:textId="77777777" w:rsidR="007E1642" w:rsidRDefault="00A17B39">
      <w:pPr>
        <w:widowControl w:val="0"/>
        <w:ind w:firstLine="567"/>
        <w:jc w:val="both"/>
        <w:rPr>
          <w:sz w:val="20"/>
        </w:rPr>
      </w:pPr>
    </w:p>
    <w:p w14:paraId="47E6FEB2" w14:textId="77777777" w:rsidR="007E1642" w:rsidRDefault="00A17B39">
      <w:pPr>
        <w:widowControl w:val="0"/>
        <w:jc w:val="right"/>
      </w:pPr>
      <w:r>
        <w:t>1.4</w:t>
      </w:r>
      <w:r>
        <w:t xml:space="preserve"> lentelė</w:t>
      </w:r>
    </w:p>
    <w:p w14:paraId="47E6FEB3" w14:textId="77777777" w:rsidR="007E1642" w:rsidRDefault="007E1642">
      <w:pPr>
        <w:widowControl w:val="0"/>
        <w:jc w:val="center"/>
        <w:rPr>
          <w:b/>
        </w:rPr>
      </w:pPr>
    </w:p>
    <w:p w14:paraId="47E6FEB4" w14:textId="77777777" w:rsidR="007E1642" w:rsidRDefault="00A17B39">
      <w:pPr>
        <w:widowControl w:val="0"/>
        <w:jc w:val="center"/>
        <w:rPr>
          <w:b/>
        </w:rPr>
      </w:pPr>
      <w:r>
        <w:rPr>
          <w:b/>
        </w:rPr>
        <w:t xml:space="preserve">Koeficientai </w:t>
      </w:r>
      <w:proofErr w:type="spellStart"/>
      <w:r>
        <w:rPr>
          <w:b/>
          <w:i/>
        </w:rPr>
        <w:t>c(z</w:t>
      </w:r>
      <w:proofErr w:type="spellEnd"/>
      <w:r>
        <w:rPr>
          <w:b/>
          <w:i/>
        </w:rPr>
        <w:t>)</w:t>
      </w:r>
      <w:r>
        <w:rPr>
          <w:b/>
        </w:rPr>
        <w:t>, įvertinantys vėjo slėgio pokytį nuo aukščio</w:t>
      </w:r>
    </w:p>
    <w:p w14:paraId="47E6FEB5" w14:textId="77777777" w:rsidR="007E1642" w:rsidRDefault="007E1642">
      <w:pPr>
        <w:widowControl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2212"/>
        <w:gridCol w:w="2379"/>
        <w:gridCol w:w="1832"/>
      </w:tblGrid>
      <w:tr w:rsidR="007E1642" w14:paraId="47E6FEB8" w14:textId="77777777">
        <w:trPr>
          <w:tblHeader/>
        </w:trPr>
        <w:tc>
          <w:tcPr>
            <w:tcW w:w="2861" w:type="dxa"/>
            <w:tcBorders>
              <w:bottom w:val="nil"/>
            </w:tcBorders>
          </w:tcPr>
          <w:p w14:paraId="47E6FEB6" w14:textId="77777777" w:rsidR="007E1642" w:rsidRDefault="00A17B39">
            <w:pPr>
              <w:jc w:val="center"/>
            </w:pPr>
            <w:r>
              <w:t>Aukštis virš žemės paviršiaus z, m</w:t>
            </w:r>
          </w:p>
        </w:tc>
        <w:tc>
          <w:tcPr>
            <w:tcW w:w="6423" w:type="dxa"/>
            <w:gridSpan w:val="3"/>
          </w:tcPr>
          <w:p w14:paraId="47E6FEB7" w14:textId="77777777" w:rsidR="007E1642" w:rsidRDefault="00A17B39">
            <w:pPr>
              <w:jc w:val="center"/>
            </w:pPr>
            <w:r>
              <w:t xml:space="preserve">Koeficientai </w:t>
            </w:r>
            <w:proofErr w:type="spellStart"/>
            <w:r>
              <w:rPr>
                <w:i/>
              </w:rPr>
              <w:t>c</w:t>
            </w:r>
            <w:r>
              <w:t>(</w:t>
            </w:r>
            <w:r>
              <w:rPr>
                <w:i/>
              </w:rPr>
              <w:t>z</w:t>
            </w:r>
            <w:proofErr w:type="spellEnd"/>
            <w:r>
              <w:t>)  vietovės tipams</w:t>
            </w:r>
          </w:p>
        </w:tc>
      </w:tr>
      <w:tr w:rsidR="007E1642" w14:paraId="47E6FEBD" w14:textId="77777777">
        <w:trPr>
          <w:tblHeader/>
        </w:trPr>
        <w:tc>
          <w:tcPr>
            <w:tcW w:w="2861" w:type="dxa"/>
            <w:tcBorders>
              <w:top w:val="nil"/>
            </w:tcBorders>
          </w:tcPr>
          <w:p w14:paraId="47E6FEB9" w14:textId="77777777" w:rsidR="007E1642" w:rsidRDefault="007E1642">
            <w:pPr>
              <w:jc w:val="center"/>
            </w:pPr>
          </w:p>
        </w:tc>
        <w:tc>
          <w:tcPr>
            <w:tcW w:w="2212" w:type="dxa"/>
          </w:tcPr>
          <w:p w14:paraId="47E6FEBA" w14:textId="77777777" w:rsidR="007E1642" w:rsidRDefault="00A17B39">
            <w:pPr>
              <w:jc w:val="center"/>
            </w:pPr>
            <w:r>
              <w:t>A</w:t>
            </w:r>
          </w:p>
        </w:tc>
        <w:tc>
          <w:tcPr>
            <w:tcW w:w="2379" w:type="dxa"/>
          </w:tcPr>
          <w:p w14:paraId="47E6FEBB" w14:textId="77777777" w:rsidR="007E1642" w:rsidRDefault="00A17B39">
            <w:pPr>
              <w:jc w:val="center"/>
            </w:pPr>
            <w:r>
              <w:t>B</w:t>
            </w:r>
          </w:p>
        </w:tc>
        <w:tc>
          <w:tcPr>
            <w:tcW w:w="1832" w:type="dxa"/>
          </w:tcPr>
          <w:p w14:paraId="47E6FEBC" w14:textId="77777777" w:rsidR="007E1642" w:rsidRDefault="00A17B39">
            <w:pPr>
              <w:jc w:val="center"/>
            </w:pPr>
            <w:r>
              <w:t>C</w:t>
            </w:r>
          </w:p>
        </w:tc>
      </w:tr>
      <w:tr w:rsidR="007E1642" w14:paraId="47E6FEC2" w14:textId="77777777">
        <w:trPr>
          <w:hidden/>
        </w:trPr>
        <w:tc>
          <w:tcPr>
            <w:tcW w:w="2861" w:type="dxa"/>
          </w:tcPr>
          <w:p w14:paraId="47E6FEBE" w14:textId="77777777" w:rsidR="007E1642" w:rsidRDefault="00A17B39">
            <w:pPr>
              <w:jc w:val="center"/>
            </w:pPr>
            <w:r>
              <w:rPr>
                <w:vanish/>
              </w:rPr>
              <w:t>&lt;=</w:t>
            </w:r>
            <w:r>
              <w:sym w:font="Symbol" w:char="F0A3"/>
            </w:r>
            <w:r>
              <w:t>5</w:t>
            </w:r>
          </w:p>
        </w:tc>
        <w:tc>
          <w:tcPr>
            <w:tcW w:w="2212" w:type="dxa"/>
          </w:tcPr>
          <w:p w14:paraId="47E6FEBF" w14:textId="77777777" w:rsidR="007E1642" w:rsidRDefault="00A17B39">
            <w:pPr>
              <w:jc w:val="center"/>
            </w:pPr>
            <w:r>
              <w:t>0,75</w:t>
            </w:r>
          </w:p>
        </w:tc>
        <w:tc>
          <w:tcPr>
            <w:tcW w:w="2379" w:type="dxa"/>
          </w:tcPr>
          <w:p w14:paraId="47E6FEC0" w14:textId="77777777" w:rsidR="007E1642" w:rsidRDefault="00A17B39">
            <w:pPr>
              <w:jc w:val="center"/>
            </w:pPr>
            <w:r>
              <w:t>0,5</w:t>
            </w:r>
          </w:p>
        </w:tc>
        <w:tc>
          <w:tcPr>
            <w:tcW w:w="1832" w:type="dxa"/>
          </w:tcPr>
          <w:p w14:paraId="47E6FEC1" w14:textId="77777777" w:rsidR="007E1642" w:rsidRDefault="00A17B39">
            <w:pPr>
              <w:jc w:val="center"/>
            </w:pPr>
            <w:r>
              <w:t>0,4</w:t>
            </w:r>
          </w:p>
        </w:tc>
      </w:tr>
      <w:tr w:rsidR="007E1642" w14:paraId="47E6FEC7" w14:textId="77777777">
        <w:tc>
          <w:tcPr>
            <w:tcW w:w="2861" w:type="dxa"/>
          </w:tcPr>
          <w:p w14:paraId="47E6FEC3" w14:textId="77777777" w:rsidR="007E1642" w:rsidRDefault="00A17B39">
            <w:pPr>
              <w:jc w:val="center"/>
            </w:pPr>
            <w:r>
              <w:t>10</w:t>
            </w:r>
          </w:p>
        </w:tc>
        <w:tc>
          <w:tcPr>
            <w:tcW w:w="2212" w:type="dxa"/>
          </w:tcPr>
          <w:p w14:paraId="47E6FEC4" w14:textId="77777777" w:rsidR="007E1642" w:rsidRDefault="00A17B39">
            <w:pPr>
              <w:jc w:val="center"/>
            </w:pPr>
            <w:r>
              <w:t>1,0</w:t>
            </w:r>
          </w:p>
        </w:tc>
        <w:tc>
          <w:tcPr>
            <w:tcW w:w="2379" w:type="dxa"/>
          </w:tcPr>
          <w:p w14:paraId="47E6FEC5" w14:textId="77777777" w:rsidR="007E1642" w:rsidRDefault="00A17B39">
            <w:pPr>
              <w:jc w:val="center"/>
            </w:pPr>
            <w:r>
              <w:t>0,65</w:t>
            </w:r>
          </w:p>
        </w:tc>
        <w:tc>
          <w:tcPr>
            <w:tcW w:w="1832" w:type="dxa"/>
          </w:tcPr>
          <w:p w14:paraId="47E6FEC6" w14:textId="77777777" w:rsidR="007E1642" w:rsidRDefault="00A17B39">
            <w:pPr>
              <w:jc w:val="center"/>
            </w:pPr>
            <w:r>
              <w:t>0,4</w:t>
            </w:r>
          </w:p>
        </w:tc>
      </w:tr>
      <w:tr w:rsidR="007E1642" w14:paraId="47E6FECC" w14:textId="77777777">
        <w:tc>
          <w:tcPr>
            <w:tcW w:w="2861" w:type="dxa"/>
          </w:tcPr>
          <w:p w14:paraId="47E6FEC8" w14:textId="77777777" w:rsidR="007E1642" w:rsidRDefault="00A17B39">
            <w:pPr>
              <w:jc w:val="center"/>
            </w:pPr>
            <w:r>
              <w:t>20</w:t>
            </w:r>
          </w:p>
        </w:tc>
        <w:tc>
          <w:tcPr>
            <w:tcW w:w="2212" w:type="dxa"/>
          </w:tcPr>
          <w:p w14:paraId="47E6FEC9" w14:textId="77777777" w:rsidR="007E1642" w:rsidRDefault="00A17B39">
            <w:pPr>
              <w:jc w:val="center"/>
            </w:pPr>
            <w:r>
              <w:t>1,25</w:t>
            </w:r>
          </w:p>
        </w:tc>
        <w:tc>
          <w:tcPr>
            <w:tcW w:w="2379" w:type="dxa"/>
          </w:tcPr>
          <w:p w14:paraId="47E6FECA" w14:textId="77777777" w:rsidR="007E1642" w:rsidRDefault="00A17B39">
            <w:pPr>
              <w:jc w:val="center"/>
            </w:pPr>
            <w:r>
              <w:t>0,85</w:t>
            </w:r>
          </w:p>
        </w:tc>
        <w:tc>
          <w:tcPr>
            <w:tcW w:w="1832" w:type="dxa"/>
          </w:tcPr>
          <w:p w14:paraId="47E6FECB" w14:textId="77777777" w:rsidR="007E1642" w:rsidRDefault="00A17B39">
            <w:pPr>
              <w:jc w:val="center"/>
            </w:pPr>
            <w:r>
              <w:t>0,55</w:t>
            </w:r>
          </w:p>
        </w:tc>
      </w:tr>
      <w:tr w:rsidR="007E1642" w14:paraId="47E6FED1" w14:textId="77777777">
        <w:tc>
          <w:tcPr>
            <w:tcW w:w="2861" w:type="dxa"/>
          </w:tcPr>
          <w:p w14:paraId="47E6FECD" w14:textId="77777777" w:rsidR="007E1642" w:rsidRDefault="00A17B39">
            <w:pPr>
              <w:jc w:val="center"/>
            </w:pPr>
            <w:r>
              <w:t>40</w:t>
            </w:r>
          </w:p>
        </w:tc>
        <w:tc>
          <w:tcPr>
            <w:tcW w:w="2212" w:type="dxa"/>
          </w:tcPr>
          <w:p w14:paraId="47E6FECE" w14:textId="77777777" w:rsidR="007E1642" w:rsidRDefault="00A17B39">
            <w:pPr>
              <w:jc w:val="center"/>
            </w:pPr>
            <w:r>
              <w:t>1,5</w:t>
            </w:r>
          </w:p>
        </w:tc>
        <w:tc>
          <w:tcPr>
            <w:tcW w:w="2379" w:type="dxa"/>
          </w:tcPr>
          <w:p w14:paraId="47E6FECF" w14:textId="77777777" w:rsidR="007E1642" w:rsidRDefault="00A17B39">
            <w:pPr>
              <w:jc w:val="center"/>
            </w:pPr>
            <w:r>
              <w:t>1,1</w:t>
            </w:r>
          </w:p>
        </w:tc>
        <w:tc>
          <w:tcPr>
            <w:tcW w:w="1832" w:type="dxa"/>
          </w:tcPr>
          <w:p w14:paraId="47E6FED0" w14:textId="77777777" w:rsidR="007E1642" w:rsidRDefault="00A17B39">
            <w:pPr>
              <w:jc w:val="center"/>
            </w:pPr>
            <w:r>
              <w:t>0,8</w:t>
            </w:r>
          </w:p>
        </w:tc>
      </w:tr>
      <w:tr w:rsidR="007E1642" w14:paraId="47E6FED6" w14:textId="77777777">
        <w:tc>
          <w:tcPr>
            <w:tcW w:w="2861" w:type="dxa"/>
          </w:tcPr>
          <w:p w14:paraId="47E6FED2" w14:textId="77777777" w:rsidR="007E1642" w:rsidRDefault="00A17B39">
            <w:pPr>
              <w:jc w:val="center"/>
            </w:pPr>
            <w:r>
              <w:t>60</w:t>
            </w:r>
          </w:p>
        </w:tc>
        <w:tc>
          <w:tcPr>
            <w:tcW w:w="2212" w:type="dxa"/>
          </w:tcPr>
          <w:p w14:paraId="47E6FED3" w14:textId="77777777" w:rsidR="007E1642" w:rsidRDefault="00A17B39">
            <w:pPr>
              <w:jc w:val="center"/>
            </w:pPr>
            <w:r>
              <w:t>1,7</w:t>
            </w:r>
          </w:p>
        </w:tc>
        <w:tc>
          <w:tcPr>
            <w:tcW w:w="2379" w:type="dxa"/>
          </w:tcPr>
          <w:p w14:paraId="47E6FED4" w14:textId="77777777" w:rsidR="007E1642" w:rsidRDefault="00A17B39">
            <w:pPr>
              <w:jc w:val="center"/>
            </w:pPr>
            <w:r>
              <w:t>1,3</w:t>
            </w:r>
          </w:p>
        </w:tc>
        <w:tc>
          <w:tcPr>
            <w:tcW w:w="1832" w:type="dxa"/>
          </w:tcPr>
          <w:p w14:paraId="47E6FED5" w14:textId="77777777" w:rsidR="007E1642" w:rsidRDefault="00A17B39">
            <w:pPr>
              <w:jc w:val="center"/>
            </w:pPr>
            <w:r>
              <w:t>1,0</w:t>
            </w:r>
          </w:p>
        </w:tc>
      </w:tr>
      <w:tr w:rsidR="007E1642" w14:paraId="47E6FEDB" w14:textId="77777777">
        <w:tc>
          <w:tcPr>
            <w:tcW w:w="2861" w:type="dxa"/>
          </w:tcPr>
          <w:p w14:paraId="47E6FED7" w14:textId="77777777" w:rsidR="007E1642" w:rsidRDefault="00A17B39">
            <w:pPr>
              <w:jc w:val="center"/>
            </w:pPr>
            <w:r>
              <w:t>80</w:t>
            </w:r>
          </w:p>
        </w:tc>
        <w:tc>
          <w:tcPr>
            <w:tcW w:w="2212" w:type="dxa"/>
          </w:tcPr>
          <w:p w14:paraId="47E6FED8" w14:textId="77777777" w:rsidR="007E1642" w:rsidRDefault="00A17B39">
            <w:pPr>
              <w:jc w:val="center"/>
            </w:pPr>
            <w:r>
              <w:t>1,85</w:t>
            </w:r>
          </w:p>
        </w:tc>
        <w:tc>
          <w:tcPr>
            <w:tcW w:w="2379" w:type="dxa"/>
          </w:tcPr>
          <w:p w14:paraId="47E6FED9" w14:textId="77777777" w:rsidR="007E1642" w:rsidRDefault="00A17B39">
            <w:pPr>
              <w:jc w:val="center"/>
            </w:pPr>
            <w:r>
              <w:t>1,45</w:t>
            </w:r>
          </w:p>
        </w:tc>
        <w:tc>
          <w:tcPr>
            <w:tcW w:w="1832" w:type="dxa"/>
          </w:tcPr>
          <w:p w14:paraId="47E6FEDA" w14:textId="77777777" w:rsidR="007E1642" w:rsidRDefault="00A17B39">
            <w:pPr>
              <w:jc w:val="center"/>
            </w:pPr>
            <w:r>
              <w:t>1,15</w:t>
            </w:r>
          </w:p>
        </w:tc>
      </w:tr>
      <w:tr w:rsidR="007E1642" w14:paraId="47E6FEE0" w14:textId="77777777">
        <w:tc>
          <w:tcPr>
            <w:tcW w:w="2861" w:type="dxa"/>
          </w:tcPr>
          <w:p w14:paraId="47E6FEDC" w14:textId="77777777" w:rsidR="007E1642" w:rsidRDefault="00A17B39">
            <w:pPr>
              <w:jc w:val="center"/>
            </w:pPr>
            <w:r>
              <w:t>100</w:t>
            </w:r>
          </w:p>
        </w:tc>
        <w:tc>
          <w:tcPr>
            <w:tcW w:w="2212" w:type="dxa"/>
          </w:tcPr>
          <w:p w14:paraId="47E6FEDD" w14:textId="77777777" w:rsidR="007E1642" w:rsidRDefault="00A17B39">
            <w:pPr>
              <w:jc w:val="center"/>
            </w:pPr>
            <w:r>
              <w:t>2,0</w:t>
            </w:r>
          </w:p>
        </w:tc>
        <w:tc>
          <w:tcPr>
            <w:tcW w:w="2379" w:type="dxa"/>
          </w:tcPr>
          <w:p w14:paraId="47E6FEDE" w14:textId="77777777" w:rsidR="007E1642" w:rsidRDefault="00A17B39">
            <w:pPr>
              <w:jc w:val="center"/>
            </w:pPr>
            <w:r>
              <w:t>1,6</w:t>
            </w:r>
          </w:p>
        </w:tc>
        <w:tc>
          <w:tcPr>
            <w:tcW w:w="1832" w:type="dxa"/>
          </w:tcPr>
          <w:p w14:paraId="47E6FEDF" w14:textId="77777777" w:rsidR="007E1642" w:rsidRDefault="00A17B39">
            <w:pPr>
              <w:jc w:val="center"/>
            </w:pPr>
            <w:r>
              <w:t>1,25</w:t>
            </w:r>
          </w:p>
        </w:tc>
      </w:tr>
      <w:tr w:rsidR="007E1642" w14:paraId="47E6FEE5" w14:textId="77777777">
        <w:tc>
          <w:tcPr>
            <w:tcW w:w="2861" w:type="dxa"/>
          </w:tcPr>
          <w:p w14:paraId="47E6FEE1" w14:textId="77777777" w:rsidR="007E1642" w:rsidRDefault="00A17B39">
            <w:pPr>
              <w:jc w:val="center"/>
            </w:pPr>
            <w:r>
              <w:t>150</w:t>
            </w:r>
          </w:p>
        </w:tc>
        <w:tc>
          <w:tcPr>
            <w:tcW w:w="2212" w:type="dxa"/>
          </w:tcPr>
          <w:p w14:paraId="47E6FEE2" w14:textId="77777777" w:rsidR="007E1642" w:rsidRDefault="00A17B39">
            <w:pPr>
              <w:jc w:val="center"/>
            </w:pPr>
            <w:r>
              <w:t>2,25</w:t>
            </w:r>
          </w:p>
        </w:tc>
        <w:tc>
          <w:tcPr>
            <w:tcW w:w="2379" w:type="dxa"/>
          </w:tcPr>
          <w:p w14:paraId="47E6FEE3" w14:textId="77777777" w:rsidR="007E1642" w:rsidRDefault="00A17B39">
            <w:pPr>
              <w:jc w:val="center"/>
            </w:pPr>
            <w:r>
              <w:t>1,9</w:t>
            </w:r>
          </w:p>
        </w:tc>
        <w:tc>
          <w:tcPr>
            <w:tcW w:w="1832" w:type="dxa"/>
          </w:tcPr>
          <w:p w14:paraId="47E6FEE4" w14:textId="77777777" w:rsidR="007E1642" w:rsidRDefault="00A17B39">
            <w:pPr>
              <w:jc w:val="center"/>
            </w:pPr>
            <w:r>
              <w:t>1,55</w:t>
            </w:r>
          </w:p>
        </w:tc>
      </w:tr>
      <w:tr w:rsidR="007E1642" w14:paraId="47E6FEEA" w14:textId="77777777">
        <w:tc>
          <w:tcPr>
            <w:tcW w:w="2861" w:type="dxa"/>
          </w:tcPr>
          <w:p w14:paraId="47E6FEE6" w14:textId="77777777" w:rsidR="007E1642" w:rsidRDefault="00A17B39">
            <w:pPr>
              <w:jc w:val="center"/>
            </w:pPr>
            <w:r>
              <w:t>200</w:t>
            </w:r>
          </w:p>
        </w:tc>
        <w:tc>
          <w:tcPr>
            <w:tcW w:w="2212" w:type="dxa"/>
          </w:tcPr>
          <w:p w14:paraId="47E6FEE7" w14:textId="77777777" w:rsidR="007E1642" w:rsidRDefault="00A17B39">
            <w:pPr>
              <w:jc w:val="center"/>
            </w:pPr>
            <w:r>
              <w:t>2,45</w:t>
            </w:r>
          </w:p>
        </w:tc>
        <w:tc>
          <w:tcPr>
            <w:tcW w:w="2379" w:type="dxa"/>
          </w:tcPr>
          <w:p w14:paraId="47E6FEE8" w14:textId="77777777" w:rsidR="007E1642" w:rsidRDefault="00A17B39">
            <w:pPr>
              <w:jc w:val="center"/>
            </w:pPr>
            <w:r>
              <w:t>2,1</w:t>
            </w:r>
          </w:p>
        </w:tc>
        <w:tc>
          <w:tcPr>
            <w:tcW w:w="1832" w:type="dxa"/>
          </w:tcPr>
          <w:p w14:paraId="47E6FEE9" w14:textId="77777777" w:rsidR="007E1642" w:rsidRDefault="00A17B39">
            <w:pPr>
              <w:jc w:val="center"/>
            </w:pPr>
            <w:r>
              <w:t>1,8</w:t>
            </w:r>
          </w:p>
        </w:tc>
      </w:tr>
    </w:tbl>
    <w:p w14:paraId="47E6FEEB" w14:textId="77777777" w:rsidR="007E1642" w:rsidRDefault="00A17B39">
      <w:pPr>
        <w:jc w:val="both"/>
        <w:rPr>
          <w:rFonts w:eastAsia="Arial Unicode MS"/>
        </w:rPr>
      </w:pPr>
      <w:r>
        <w:t>Pastaba. V</w:t>
      </w:r>
      <w:r>
        <w:rPr>
          <w:rFonts w:eastAsia="Arial Unicode MS"/>
        </w:rPr>
        <w:t xml:space="preserve">ietovės tipai įvairioms skaičiuotinoms </w:t>
      </w:r>
      <w:r>
        <w:rPr>
          <w:rFonts w:eastAsia="Arial Unicode MS"/>
        </w:rPr>
        <w:t>vėjo kryptims gali būti skirtingi.</w:t>
      </w:r>
    </w:p>
    <w:p w14:paraId="47E6FEEC" w14:textId="77777777" w:rsidR="007E1642" w:rsidRDefault="00A17B39">
      <w:pPr>
        <w:ind w:firstLine="567"/>
        <w:jc w:val="both"/>
        <w:rPr>
          <w:b/>
          <w:i/>
          <w:sz w:val="20"/>
        </w:rPr>
      </w:pPr>
    </w:p>
    <w:p w14:paraId="47E6FEED" w14:textId="77777777" w:rsidR="007E1642" w:rsidRDefault="00A17B39">
      <w:pPr>
        <w:ind w:firstLine="567"/>
        <w:jc w:val="both"/>
      </w:pPr>
      <w:r>
        <w:t>4</w:t>
      </w:r>
      <w:r>
        <w:t>. Pavėjiniai išorinio slėgio aerodinaminiai koeficientai nustatomi taip:</w:t>
      </w:r>
    </w:p>
    <w:p w14:paraId="47E6FEEE" w14:textId="77777777" w:rsidR="007E1642" w:rsidRDefault="00A17B39">
      <w:pPr>
        <w:ind w:firstLine="567"/>
        <w:jc w:val="both"/>
      </w:pPr>
      <w:r>
        <w:t>4.1</w:t>
      </w:r>
      <w:r>
        <w:t xml:space="preserve">. sienų centrinių zonų skaičiavimams gali būti naudojamas aerodinaminis koeficientas </w:t>
      </w:r>
      <w:proofErr w:type="spellStart"/>
      <w:r>
        <w:rPr>
          <w:i/>
        </w:rPr>
        <w:t>c</w:t>
      </w:r>
      <w:r>
        <w:rPr>
          <w:vertAlign w:val="subscript"/>
        </w:rPr>
        <w:t>e</w:t>
      </w:r>
      <w:proofErr w:type="spellEnd"/>
      <w:r>
        <w:sym w:font="SymbolPS" w:char="F03D"/>
      </w:r>
      <w:r>
        <w:t xml:space="preserve">–0,8. Jei duomenys apie pastatą išsamiai </w:t>
      </w:r>
      <w:r>
        <w:t>įvertina vėjo poveikius, ši koeficiento reikšmė gali būti koreguojama pagal STR 2.05.04:2003 „Poveikiai ir apkrovos“ [7.5] duomenis;</w:t>
      </w:r>
    </w:p>
    <w:p w14:paraId="47E6FEEF" w14:textId="77777777" w:rsidR="007E1642" w:rsidRDefault="00A17B39">
      <w:pPr>
        <w:ind w:firstLine="567"/>
        <w:jc w:val="both"/>
      </w:pPr>
      <w:r>
        <w:t>4.2</w:t>
      </w:r>
      <w:r>
        <w:t xml:space="preserve">. sienų pakraščių zonų skaičiavimams turi būti naudojamas aerodinaminis koeficientas </w:t>
      </w:r>
      <w:proofErr w:type="spellStart"/>
      <w:r>
        <w:rPr>
          <w:i/>
        </w:rPr>
        <w:t>c</w:t>
      </w:r>
      <w:r>
        <w:rPr>
          <w:vertAlign w:val="subscript"/>
        </w:rPr>
        <w:t>e</w:t>
      </w:r>
      <w:proofErr w:type="spellEnd"/>
      <w:r>
        <w:sym w:font="SymbolPS" w:char="F03D"/>
      </w:r>
      <w:r>
        <w:t>–2 (žr. 1 pav.);</w:t>
      </w:r>
    </w:p>
    <w:p w14:paraId="47E6FEF0" w14:textId="77777777" w:rsidR="007E1642" w:rsidRDefault="00A17B39">
      <w:pPr>
        <w:ind w:firstLine="567"/>
        <w:jc w:val="both"/>
        <w:rPr>
          <w:b/>
        </w:rPr>
      </w:pPr>
      <w:r>
        <w:t>4.3</w:t>
      </w:r>
      <w:r>
        <w:t>. si</w:t>
      </w:r>
      <w:r>
        <w:t xml:space="preserve">enų kampų zonų skaičiavimams turi būti naudojamas aerodinaminis koeficientas </w:t>
      </w:r>
      <w:proofErr w:type="spellStart"/>
      <w:r>
        <w:rPr>
          <w:i/>
        </w:rPr>
        <w:t>c</w:t>
      </w:r>
      <w:r>
        <w:rPr>
          <w:vertAlign w:val="subscript"/>
        </w:rPr>
        <w:t>e</w:t>
      </w:r>
      <w:proofErr w:type="spellEnd"/>
      <w:r>
        <w:sym w:font="SymbolPS" w:char="F03D"/>
      </w:r>
      <w:r>
        <w:t>–3 (žr. 1 pav.).</w:t>
      </w:r>
    </w:p>
    <w:p w14:paraId="47E6FEF1" w14:textId="77777777" w:rsidR="007E1642" w:rsidRDefault="007E1642">
      <w:pPr>
        <w:jc w:val="center"/>
        <w:rPr>
          <w:sz w:val="20"/>
        </w:rPr>
      </w:pPr>
    </w:p>
    <w:p w14:paraId="47E6FEF2" w14:textId="77777777" w:rsidR="007E1642" w:rsidRDefault="00A17B39">
      <w:pPr>
        <w:jc w:val="center"/>
        <w:rPr>
          <w:sz w:val="20"/>
        </w:rPr>
      </w:pPr>
      <w:r>
        <w:rPr>
          <w:noProof/>
          <w:sz w:val="20"/>
          <w:lang w:eastAsia="lt-LT"/>
        </w:rPr>
        <w:drawing>
          <wp:inline distT="0" distB="0" distL="0" distR="0" wp14:anchorId="47E6FF0C" wp14:editId="47E6FF0D">
            <wp:extent cx="5600700" cy="3352800"/>
            <wp:effectExtent l="0" t="0" r="0" b="0"/>
            <wp:docPr id="10" name="Picture 9" descr="1-2_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_pav"/>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0700" cy="3352800"/>
                    </a:xfrm>
                    <a:prstGeom prst="rect">
                      <a:avLst/>
                    </a:prstGeom>
                    <a:noFill/>
                    <a:ln>
                      <a:noFill/>
                    </a:ln>
                  </pic:spPr>
                </pic:pic>
              </a:graphicData>
            </a:graphic>
          </wp:inline>
        </w:drawing>
      </w:r>
    </w:p>
    <w:p w14:paraId="47E6FEF3" w14:textId="77777777" w:rsidR="007E1642" w:rsidRDefault="00A17B39">
      <w:pPr>
        <w:jc w:val="center"/>
        <w:rPr>
          <w:vanish/>
          <w:sz w:val="20"/>
        </w:rPr>
      </w:pPr>
      <w:r>
        <w:rPr>
          <w:vanish/>
          <w:sz w:val="20"/>
        </w:rPr>
        <w:t>(pav.)</w:t>
      </w:r>
    </w:p>
    <w:p w14:paraId="47E6FEF4" w14:textId="77777777" w:rsidR="007E1642" w:rsidRDefault="00A17B39">
      <w:pPr>
        <w:jc w:val="center"/>
        <w:rPr>
          <w:sz w:val="22"/>
          <w:szCs w:val="22"/>
        </w:rPr>
      </w:pPr>
      <w:r>
        <w:rPr>
          <w:sz w:val="22"/>
          <w:szCs w:val="22"/>
        </w:rPr>
        <w:t xml:space="preserve">1 pav. Pastato aerodinaminių koeficientų nustatymo schema. </w:t>
      </w:r>
    </w:p>
    <w:p w14:paraId="47E6FEF5" w14:textId="77777777" w:rsidR="007E1642" w:rsidRDefault="00A17B39">
      <w:pPr>
        <w:jc w:val="center"/>
        <w:rPr>
          <w:sz w:val="22"/>
          <w:szCs w:val="22"/>
        </w:rPr>
      </w:pPr>
      <w:r>
        <w:rPr>
          <w:sz w:val="22"/>
          <w:szCs w:val="22"/>
        </w:rPr>
        <w:t>Pagal išorinį sienų kontūrą išilgai paviršiaus 1,5 m plotyje esančiose vietose</w:t>
      </w:r>
    </w:p>
    <w:p w14:paraId="47E6FEF6" w14:textId="77777777" w:rsidR="007E1642" w:rsidRDefault="00A17B39">
      <w:pPr>
        <w:ind w:firstLine="62"/>
        <w:jc w:val="center"/>
        <w:rPr>
          <w:sz w:val="22"/>
          <w:szCs w:val="22"/>
        </w:rPr>
      </w:pPr>
      <w:r>
        <w:rPr>
          <w:sz w:val="22"/>
          <w:szCs w:val="22"/>
        </w:rPr>
        <w:t xml:space="preserve">aerodinaminis koeficientas </w:t>
      </w:r>
      <w:proofErr w:type="spellStart"/>
      <w:r>
        <w:rPr>
          <w:i/>
          <w:sz w:val="22"/>
          <w:szCs w:val="22"/>
        </w:rPr>
        <w:t>c</w:t>
      </w:r>
      <w:r>
        <w:rPr>
          <w:i/>
          <w:sz w:val="22"/>
          <w:szCs w:val="22"/>
          <w:vertAlign w:val="subscript"/>
        </w:rPr>
        <w:t>e</w:t>
      </w:r>
      <w:proofErr w:type="spellEnd"/>
      <w:r>
        <w:rPr>
          <w:sz w:val="22"/>
          <w:szCs w:val="22"/>
        </w:rPr>
        <w:t xml:space="preserve">= –2, o 1,5 m nuo pastato </w:t>
      </w:r>
    </w:p>
    <w:p w14:paraId="47E6FEF7" w14:textId="77777777" w:rsidR="007E1642" w:rsidRDefault="00A17B39">
      <w:pPr>
        <w:jc w:val="center"/>
        <w:rPr>
          <w:sz w:val="22"/>
          <w:szCs w:val="22"/>
        </w:rPr>
      </w:pPr>
      <w:r>
        <w:rPr>
          <w:sz w:val="22"/>
          <w:szCs w:val="22"/>
        </w:rPr>
        <w:t xml:space="preserve">kampo aerodinaminis koeficientas </w:t>
      </w:r>
      <w:proofErr w:type="spellStart"/>
      <w:r>
        <w:rPr>
          <w:i/>
          <w:sz w:val="22"/>
          <w:szCs w:val="22"/>
        </w:rPr>
        <w:t>c</w:t>
      </w:r>
      <w:r>
        <w:rPr>
          <w:i/>
          <w:sz w:val="22"/>
          <w:szCs w:val="22"/>
          <w:vertAlign w:val="subscript"/>
        </w:rPr>
        <w:t>e</w:t>
      </w:r>
      <w:proofErr w:type="spellEnd"/>
      <w:r>
        <w:rPr>
          <w:sz w:val="22"/>
          <w:szCs w:val="22"/>
        </w:rPr>
        <w:t>= –3.</w:t>
      </w:r>
    </w:p>
    <w:p w14:paraId="47E6FEFA" w14:textId="03B2DFEA" w:rsidR="007E1642" w:rsidRDefault="00A17B39" w:rsidP="00A17B39">
      <w:pPr>
        <w:widowControl w:val="0"/>
        <w:suppressAutoHyphens/>
        <w:jc w:val="center"/>
      </w:pPr>
      <w:r>
        <w:rPr>
          <w:rFonts w:eastAsia="Arial Unicode MS" w:cs="Tahoma"/>
        </w:rPr>
        <w:t>_________________</w:t>
      </w:r>
    </w:p>
    <w:bookmarkStart w:id="0" w:name="_GoBack" w:displacedByCustomXml="next"/>
    <w:bookmarkEnd w:id="0" w:displacedByCustomXml="next"/>
    <w:sectPr w:rsidR="007E1642">
      <w:headerReference w:type="even" r:id="rId32"/>
      <w:headerReference w:type="default" r:id="rId33"/>
      <w:footerReference w:type="even" r:id="rId34"/>
      <w:footerReference w:type="default" r:id="rId35"/>
      <w:headerReference w:type="first" r:id="rId36"/>
      <w:footerReference w:type="first" r:id="rId37"/>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6FF10" w14:textId="77777777" w:rsidR="007E1642" w:rsidRDefault="00A17B39">
      <w:r>
        <w:separator/>
      </w:r>
    </w:p>
  </w:endnote>
  <w:endnote w:type="continuationSeparator" w:id="0">
    <w:p w14:paraId="47E6FF11" w14:textId="77777777" w:rsidR="007E1642" w:rsidRDefault="00A1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FF14" w14:textId="77777777" w:rsidR="007E1642" w:rsidRDefault="007E164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FF15" w14:textId="77777777" w:rsidR="007E1642" w:rsidRDefault="007E164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FF17" w14:textId="77777777" w:rsidR="007E1642" w:rsidRDefault="007E164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6FF0E" w14:textId="77777777" w:rsidR="007E1642" w:rsidRDefault="00A17B39">
      <w:r>
        <w:separator/>
      </w:r>
    </w:p>
  </w:footnote>
  <w:footnote w:type="continuationSeparator" w:id="0">
    <w:p w14:paraId="47E6FF0F" w14:textId="77777777" w:rsidR="007E1642" w:rsidRDefault="00A1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FF12" w14:textId="77777777" w:rsidR="007E1642" w:rsidRDefault="007E164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FF13" w14:textId="77777777" w:rsidR="007E1642" w:rsidRDefault="007E164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FF16" w14:textId="77777777" w:rsidR="007E1642" w:rsidRDefault="007E164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7B"/>
    <w:rsid w:val="007E1642"/>
    <w:rsid w:val="0088497B"/>
    <w:rsid w:val="00A17B3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7E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7B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7B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31E79DEC55D"/>
  <Relationship Id="rId11" Type="http://schemas.openxmlformats.org/officeDocument/2006/relationships/hyperlink" TargetMode="External" Target="https://www.e-tar.lt/portal/lt/legalAct/TAR.80A638E6C263"/>
  <Relationship Id="rId12" Type="http://schemas.openxmlformats.org/officeDocument/2006/relationships/hyperlink" TargetMode="External" Target="https://www.e-tar.lt/portal/lt/legalAct/TAR.F0F5AD6471BE"/>
  <Relationship Id="rId13" Type="http://schemas.openxmlformats.org/officeDocument/2006/relationships/hyperlink" TargetMode="External" Target="https://www.e-tar.lt/portal/lt/legalAct/TAR.765E76579776"/>
  <Relationship Id="rId14" Type="http://schemas.openxmlformats.org/officeDocument/2006/relationships/hyperlink" TargetMode="External" Target="https://www.e-tar.lt/portal/lt/legalAct/TAR.DD7ED25E31D3"/>
  <Relationship Id="rId15" Type="http://schemas.openxmlformats.org/officeDocument/2006/relationships/hyperlink" TargetMode="External" Target="https://www.e-tar.lt/portal/lt/legalAct/TAR.F31E79DEC55D"/>
  <Relationship Id="rId16" Type="http://schemas.openxmlformats.org/officeDocument/2006/relationships/hyperlink" TargetMode="External" Target="https://www.e-tar.lt/portal/lt/legalAct/TAR.80A638E6C263"/>
  <Relationship Id="rId17" Type="http://schemas.openxmlformats.org/officeDocument/2006/relationships/hyperlink" TargetMode="External" Target="https://www.e-tar.lt/portal/lt/legalAct/TAR.358675FB0A82"/>
  <Relationship Id="rId18" Type="http://schemas.openxmlformats.org/officeDocument/2006/relationships/hyperlink" TargetMode="External" Target="https://www.e-tar.lt/portal/lt/legalAct/TAR.B49EEDC9171B"/>
  <Relationship Id="rId19" Type="http://schemas.openxmlformats.org/officeDocument/2006/relationships/hyperlink" TargetMode="External" Target="https://www.e-tar.lt/portal/lt/legalAct/TAR.EFD0F8F17ADB"/>
  <Relationship Id="rId2" Type="http://schemas.openxmlformats.org/officeDocument/2006/relationships/styles" Target="styles.xml"/>
  <Relationship Id="rId20" Type="http://schemas.openxmlformats.org/officeDocument/2006/relationships/hyperlink" TargetMode="External" Target="https://www.e-tar.lt/portal/lt/legalAct/TAR.E5D5DC3C496B"/>
  <Relationship Id="rId21" Type="http://schemas.openxmlformats.org/officeDocument/2006/relationships/hyperlink" TargetMode="External" Target="https://www.e-tar.lt/portal/lt/legalAct/TAR.44B5B0E7BE9F"/>
  <Relationship Id="rId22" Type="http://schemas.openxmlformats.org/officeDocument/2006/relationships/hyperlink" TargetMode="External" Target="https://www.e-tar.lt/portal/lt/legalAct/TAR.BEFE83252B3B"/>
  <Relationship Id="rId23" Type="http://schemas.openxmlformats.org/officeDocument/2006/relationships/image" Target="media/image2.wmf"/>
  <Relationship Id="rId24" Type="http://schemas.openxmlformats.org/officeDocument/2006/relationships/image" Target="media/image3.wmf"/>
  <Relationship Id="rId25" Type="http://schemas.openxmlformats.org/officeDocument/2006/relationships/image" Target="media/image4.wmf"/>
  <Relationship Id="rId26" Type="http://schemas.openxmlformats.org/officeDocument/2006/relationships/image" Target="media/image5.png"/>
  <Relationship Id="rId27" Type="http://schemas.openxmlformats.org/officeDocument/2006/relationships/image" Target="media/image6.png"/>
  <Relationship Id="rId28" Type="http://schemas.openxmlformats.org/officeDocument/2006/relationships/image" Target="media/image7.wmf"/>
  <Relationship Id="rId29" Type="http://schemas.openxmlformats.org/officeDocument/2006/relationships/image" Target="media/image8.wmf"/>
  <Relationship Id="rId3" Type="http://schemas.microsoft.com/office/2007/relationships/stylesWithEffects" Target="stylesWithEffects.xml"/>
  <Relationship Id="rId30" Type="http://schemas.openxmlformats.org/officeDocument/2006/relationships/image" Target="media/image9.wmf"/>
  <Relationship Id="rId31" Type="http://schemas.openxmlformats.org/officeDocument/2006/relationships/image" Target="media/image10.wmf"/>
  <Relationship Id="rId32" Type="http://schemas.openxmlformats.org/officeDocument/2006/relationships/header" Target="header1.xml"/>
  <Relationship Id="rId33" Type="http://schemas.openxmlformats.org/officeDocument/2006/relationships/header" Target="header2.xml"/>
  <Relationship Id="rId34" Type="http://schemas.openxmlformats.org/officeDocument/2006/relationships/footer" Target="footer1.xml"/>
  <Relationship Id="rId35" Type="http://schemas.openxmlformats.org/officeDocument/2006/relationships/footer" Target="footer2.xml"/>
  <Relationship Id="rId36" Type="http://schemas.openxmlformats.org/officeDocument/2006/relationships/header" Target="header3.xml"/>
  <Relationship Id="rId37" Type="http://schemas.openxmlformats.org/officeDocument/2006/relationships/footer" Target="footer3.xml"/>
  <Relationship Id="rId38" Type="http://schemas.openxmlformats.org/officeDocument/2006/relationships/fontTable" Target="fontTable.xml"/>
  <Relationship Id="rId39" Type="http://schemas.openxmlformats.org/officeDocument/2006/relationships/glossaryDocument" Target="glossary/document.xml"/>
  <Relationship Id="rId4" Type="http://schemas.openxmlformats.org/officeDocument/2006/relationships/settings" Target="settings.xml"/>
  <Relationship Id="rId40"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BC"/>
    <w:rsid w:val="006671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71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71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17495</Words>
  <Characters>9973</Characters>
  <Application>Microsoft Office Word</Application>
  <DocSecurity>0</DocSecurity>
  <Lines>83</Lines>
  <Paragraphs>54</Paragraphs>
  <ScaleCrop>false</ScaleCrop>
  <Company/>
  <LinksUpToDate>false</LinksUpToDate>
  <CharactersWithSpaces>27414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2015-09-28T16:02:00Z</dcterms:created>
  <dc:creator>Rima</dc:creator>
  <lastModifiedBy>JUOSPONIENĖ Karolina</lastModifiedBy>
  <dcterms:modified xsi:type="dcterms:W3CDTF">2016-06-30T06:06:00Z</dcterms:modified>
  <revision>3</revision>
  <dc:title>LIETUVOS RESPUBLIKOS APLINKOS MINISTRO</dc:title>
</coreProperties>
</file>