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460DD" w14:textId="77777777" w:rsidR="00645486" w:rsidRDefault="000A6639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66E4610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b/>
          <w:color w:val="000000"/>
        </w:rPr>
        <w:t>LIETUVOS RESPUBLIKOS VYRIAUSYBĖ</w:t>
      </w:r>
    </w:p>
    <w:p w14:paraId="66E460DE" w14:textId="77777777" w:rsidR="00645486" w:rsidRDefault="00645486">
      <w:pPr>
        <w:jc w:val="center"/>
        <w:rPr>
          <w:color w:val="000000"/>
        </w:rPr>
      </w:pPr>
    </w:p>
    <w:p w14:paraId="66E460DF" w14:textId="77777777" w:rsidR="00645486" w:rsidRDefault="000A6639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66E460E0" w14:textId="77777777" w:rsidR="00645486" w:rsidRDefault="000A6639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2000 M. KOVO 23 D. NUTARIMO NR. 337 „DĖL PAVOJINGŲ KROVINIŲ VEŽIMO KELIŲ TRANSPORTU LIETUVOS RESPUBLIKOJE“ PAKEITIMO</w:t>
      </w:r>
    </w:p>
    <w:p w14:paraId="66E460E1" w14:textId="77777777" w:rsidR="00645486" w:rsidRDefault="00645486">
      <w:pPr>
        <w:jc w:val="center"/>
        <w:rPr>
          <w:color w:val="000000"/>
        </w:rPr>
      </w:pPr>
    </w:p>
    <w:p w14:paraId="66E460E2" w14:textId="77777777" w:rsidR="00645486" w:rsidRDefault="000A6639">
      <w:pPr>
        <w:jc w:val="center"/>
        <w:rPr>
          <w:color w:val="000000"/>
        </w:rPr>
      </w:pPr>
      <w:r>
        <w:rPr>
          <w:color w:val="000000"/>
        </w:rPr>
        <w:t xml:space="preserve">2003 m. spalio </w:t>
      </w:r>
      <w:r>
        <w:rPr>
          <w:color w:val="000000"/>
        </w:rPr>
        <w:t>28 d. Nr. 1336</w:t>
      </w:r>
    </w:p>
    <w:p w14:paraId="66E460E3" w14:textId="77777777" w:rsidR="00645486" w:rsidRDefault="000A6639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66E460E4" w14:textId="77777777" w:rsidR="00645486" w:rsidRDefault="00645486">
      <w:pPr>
        <w:jc w:val="center"/>
        <w:rPr>
          <w:color w:val="000000"/>
        </w:rPr>
      </w:pPr>
    </w:p>
    <w:p w14:paraId="66E460E5" w14:textId="77777777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>a:</w:t>
      </w:r>
    </w:p>
    <w:p w14:paraId="66E460E6" w14:textId="77777777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Pakeisti Lietuvos Respublikos Vyriausybės 2000 m. kovo 23 d. nutarimą Nr. 337 „Dėl pavojingų krovinių vežimo kelių transportu Lietuvos Respublikoje“ (Žin., 2000, Nr. </w:t>
      </w:r>
      <w:hyperlink r:id="rId10" w:tgtFrame="_blank" w:history="1">
        <w:r>
          <w:rPr>
            <w:color w:val="0000FF" w:themeColor="hyperlink"/>
            <w:u w:val="single"/>
          </w:rPr>
          <w:t>26-694</w:t>
        </w:r>
      </w:hyperlink>
      <w:r>
        <w:rPr>
          <w:color w:val="000000"/>
        </w:rPr>
        <w:t xml:space="preserve">) ir išdėstyti jį nauja redakcija: </w:t>
      </w:r>
    </w:p>
    <w:p w14:paraId="66E460E7" w14:textId="77777777" w:rsidR="00645486" w:rsidRDefault="00645486">
      <w:pPr>
        <w:ind w:firstLine="709"/>
        <w:rPr>
          <w:color w:val="000000"/>
        </w:rPr>
      </w:pPr>
    </w:p>
    <w:bookmarkStart w:id="0" w:name="_GoBack" w:displacedByCustomXml="prev"/>
    <w:p w14:paraId="66E460E8" w14:textId="77777777" w:rsidR="00645486" w:rsidRDefault="000A6639">
      <w:pPr>
        <w:jc w:val="center"/>
        <w:rPr>
          <w:b/>
          <w:color w:val="000000"/>
        </w:rPr>
      </w:pPr>
      <w:r>
        <w:rPr>
          <w:color w:val="000000"/>
        </w:rPr>
        <w:t>„</w:t>
      </w:r>
      <w:r>
        <w:rPr>
          <w:b/>
          <w:color w:val="000000"/>
        </w:rPr>
        <w:t>LIETUVOS RESPUBLIKOS VYRIAUSYBĖ</w:t>
      </w:r>
    </w:p>
    <w:p w14:paraId="66E460E9" w14:textId="77777777" w:rsidR="00645486" w:rsidRDefault="00645486">
      <w:pPr>
        <w:jc w:val="center"/>
        <w:rPr>
          <w:b/>
          <w:color w:val="000000"/>
        </w:rPr>
      </w:pPr>
    </w:p>
    <w:p w14:paraId="66E460EA" w14:textId="77777777" w:rsidR="00645486" w:rsidRDefault="000A6639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66E460EB" w14:textId="77777777" w:rsidR="00645486" w:rsidRDefault="000A6639">
      <w:pPr>
        <w:jc w:val="center"/>
        <w:rPr>
          <w:b/>
          <w:color w:val="000000"/>
        </w:rPr>
      </w:pPr>
      <w:r>
        <w:rPr>
          <w:b/>
          <w:color w:val="000000"/>
        </w:rPr>
        <w:t>DĖL PAVOJINGŲ KROVINIŲ VEŽIMO KELIŲ TRANSPORTU LIETUVOS</w:t>
      </w:r>
    </w:p>
    <w:p w14:paraId="66E460EC" w14:textId="77777777" w:rsidR="00645486" w:rsidRDefault="000A6639">
      <w:pPr>
        <w:jc w:val="center"/>
        <w:rPr>
          <w:b/>
          <w:color w:val="000000"/>
        </w:rPr>
      </w:pPr>
      <w:r>
        <w:rPr>
          <w:b/>
          <w:color w:val="000000"/>
        </w:rPr>
        <w:t>RESPUBLIKOJE</w:t>
      </w:r>
    </w:p>
    <w:p w14:paraId="66E460ED" w14:textId="77777777" w:rsidR="00645486" w:rsidRDefault="00645486">
      <w:pPr>
        <w:ind w:firstLine="709"/>
        <w:rPr>
          <w:color w:val="000000"/>
        </w:rPr>
      </w:pPr>
    </w:p>
    <w:p w14:paraId="66E460EE" w14:textId="77777777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 Lietuvos Respublikos </w:t>
      </w:r>
      <w:r>
        <w:rPr>
          <w:color w:val="000000"/>
        </w:rPr>
        <w:t xml:space="preserve">kelių transporto kodekso (Žin., 1996, Nr. </w:t>
      </w:r>
      <w:hyperlink r:id="rId11" w:tgtFrame="_blank" w:history="1">
        <w:r>
          <w:rPr>
            <w:color w:val="0000FF" w:themeColor="hyperlink"/>
            <w:u w:val="single"/>
          </w:rPr>
          <w:t>119-2772</w:t>
        </w:r>
      </w:hyperlink>
      <w:r>
        <w:rPr>
          <w:color w:val="000000"/>
        </w:rPr>
        <w:t xml:space="preserve">; 2002, Nr. </w:t>
      </w:r>
      <w:hyperlink r:id="rId12" w:tgtFrame="_blank" w:history="1">
        <w:r>
          <w:rPr>
            <w:color w:val="0000FF" w:themeColor="hyperlink"/>
            <w:u w:val="single"/>
          </w:rPr>
          <w:t>37-1342</w:t>
        </w:r>
      </w:hyperlink>
      <w:r>
        <w:rPr>
          <w:color w:val="000000"/>
        </w:rPr>
        <w:t>) 37 straipsnio 2 dalimi, Lie</w:t>
      </w:r>
      <w:r>
        <w:rPr>
          <w:color w:val="000000"/>
        </w:rPr>
        <w:t xml:space="preserve">tuvos Respublikos pavojingų krovinių vežimo automobilių, geležinkelių ir vidaus vandenų transportu įstatymo (Žin., 2001, Nr. </w:t>
      </w:r>
      <w:hyperlink r:id="rId13" w:tgtFrame="_blank" w:history="1">
        <w:r>
          <w:rPr>
            <w:color w:val="0000FF" w:themeColor="hyperlink"/>
            <w:u w:val="single"/>
          </w:rPr>
          <w:t>111-4022</w:t>
        </w:r>
      </w:hyperlink>
      <w:r>
        <w:rPr>
          <w:color w:val="000000"/>
        </w:rPr>
        <w:t>) 4 straipsnio 2 dalimi ir įgyvendindama 199</w:t>
      </w:r>
      <w:r>
        <w:rPr>
          <w:color w:val="000000"/>
        </w:rPr>
        <w:t>4 m. lapkričio 21 d. Tarybos direktyvą 94/55/EB dėl valstybių narių teisės aktų dėl pavojingų krovinių vežimo keliais suderinimo (su pakeitimais, padarytais 2000 m. spalio 10 d. Europos Parlamento ir Tarybos direktyva 2000/61/EB, 2001 m. sausio 29 d. Komis</w:t>
      </w:r>
      <w:r>
        <w:rPr>
          <w:color w:val="000000"/>
        </w:rPr>
        <w:t xml:space="preserve">ijos direktyva 2001/7/EB ir 2002 m. lapkričio 7 d. Komisijos sprendimu 2002/886/EB), Lietuvos Respublikos Vyriausybė </w:t>
      </w:r>
      <w:r>
        <w:rPr>
          <w:color w:val="000000"/>
          <w:spacing w:val="60"/>
        </w:rPr>
        <w:t>nutari</w:t>
      </w:r>
      <w:r>
        <w:rPr>
          <w:color w:val="000000"/>
        </w:rPr>
        <w:t xml:space="preserve">a: </w:t>
      </w:r>
    </w:p>
    <w:p w14:paraId="66E460EF" w14:textId="77777777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>Nustatyti, kad:</w:t>
      </w:r>
    </w:p>
    <w:p w14:paraId="66E460F0" w14:textId="77777777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Pavojingi kroviniai kelių transportu šalies viduje vežami vadovaujantis Europos sutarties dėl pavojingų </w:t>
      </w:r>
      <w:r>
        <w:rPr>
          <w:color w:val="000000"/>
        </w:rPr>
        <w:t xml:space="preserve">krovinių tarptautinių vežimų keliais (ADR) (Žin., 2003, Nr. </w:t>
      </w:r>
      <w:hyperlink r:id="rId14" w:tgtFrame="_blank" w:history="1">
        <w:r>
          <w:rPr>
            <w:color w:val="0000FF" w:themeColor="hyperlink"/>
            <w:u w:val="single"/>
          </w:rPr>
          <w:t>46-2057</w:t>
        </w:r>
      </w:hyperlink>
      <w:r>
        <w:rPr>
          <w:color w:val="000000"/>
        </w:rPr>
        <w:t xml:space="preserve">) techninių priedų (toliau vadinama – ADR) nuostatomis, išskyrus šio nutarimo 2 punkte išvardytas nuostatas, kurios įsigalios nuo Lietuvos Respublikos narystės Europos Sąjungoje dienos. </w:t>
      </w:r>
    </w:p>
    <w:p w14:paraId="66E460F1" w14:textId="77777777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Nuo Lietuvos Respublikos narystės Europos Sąjungoje dienos įsi</w:t>
      </w:r>
      <w:r>
        <w:rPr>
          <w:color w:val="000000"/>
        </w:rPr>
        <w:t>galioja šios ADR nuostatos:</w:t>
      </w:r>
    </w:p>
    <w:p w14:paraId="66E460F2" w14:textId="77777777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>. 6.1 skyrius. Reikalavimai taros konstrukcijai ir bandymams (išskyrus 6.1.2 punktą, kurio nuostatos taikomos įsigaliojus šiam nutarimui);</w:t>
      </w:r>
    </w:p>
    <w:p w14:paraId="66E460F3" w14:textId="77777777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>. 6.2 skyrius. Reikalavimai dujų indų, aerozolinių purkštuvų ir mažų dujų tal</w:t>
      </w:r>
      <w:r>
        <w:rPr>
          <w:color w:val="000000"/>
        </w:rPr>
        <w:t>pyklų (dujų balionėlių) konstrukcijai ir bandymams;</w:t>
      </w:r>
    </w:p>
    <w:p w14:paraId="66E460F4" w14:textId="77777777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>2.3</w:t>
      </w:r>
      <w:r>
        <w:rPr>
          <w:color w:val="000000"/>
        </w:rPr>
        <w:t>. 6.3 skyrius. Reikalavimai 6.2 klasės medžiagų taros konstrukcijai ir bandymams;</w:t>
      </w:r>
    </w:p>
    <w:p w14:paraId="66E460F5" w14:textId="77777777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>2.4</w:t>
      </w:r>
      <w:r>
        <w:rPr>
          <w:color w:val="000000"/>
        </w:rPr>
        <w:t>. 6.5 skyrius. Reikalavimai vidutinės talpos konteinerių piltiniams/biraliniams kroviniams (VTK) konstrukcij</w:t>
      </w:r>
      <w:r>
        <w:rPr>
          <w:color w:val="000000"/>
        </w:rPr>
        <w:t>ai ir bandymams;</w:t>
      </w:r>
    </w:p>
    <w:p w14:paraId="66E460F6" w14:textId="77777777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>2.5</w:t>
      </w:r>
      <w:r>
        <w:rPr>
          <w:color w:val="000000"/>
        </w:rPr>
        <w:t>. 6.6 skyrius. Reikalavimai didelės taros konstrukcijai ir bandymams;</w:t>
      </w:r>
    </w:p>
    <w:p w14:paraId="66E460F7" w14:textId="77777777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>2.6</w:t>
      </w:r>
      <w:r>
        <w:rPr>
          <w:color w:val="000000"/>
        </w:rPr>
        <w:t>. 9.2 skyrius. Reikalavimai bazinių transporto priemonių konstrukcijai;</w:t>
      </w:r>
    </w:p>
    <w:p w14:paraId="66E460F8" w14:textId="77777777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>2.7</w:t>
      </w:r>
      <w:r>
        <w:rPr>
          <w:color w:val="000000"/>
        </w:rPr>
        <w:t>. 9.3.2 punktas. Kurą naudojantys šildytuvai;</w:t>
      </w:r>
    </w:p>
    <w:p w14:paraId="66E460F9" w14:textId="77777777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>
        <w:rPr>
          <w:color w:val="000000"/>
        </w:rPr>
        <w:t xml:space="preserve">. 9.3.7 punktas. </w:t>
      </w:r>
      <w:r>
        <w:rPr>
          <w:color w:val="000000"/>
        </w:rPr>
        <w:t>Elektros įranga;</w:t>
      </w:r>
    </w:p>
    <w:p w14:paraId="66E460FA" w14:textId="77777777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>2.9</w:t>
      </w:r>
      <w:r>
        <w:rPr>
          <w:color w:val="000000"/>
        </w:rPr>
        <w:t>. 9.7 skyrius. Papildomi reikalavimai stacionarioms cisternoms (autocisternoms), transporto priemonių baterijoms ir sukomplektuotoms ar kombinuotoms transporto priemonėms, naudojamoms vežti pavojingus krovinius nuimamose cisternose,</w:t>
      </w:r>
      <w:r>
        <w:rPr>
          <w:color w:val="000000"/>
        </w:rPr>
        <w:t xml:space="preserve"> kurių talpa didesnė nei 1 m-3, ar </w:t>
      </w:r>
      <w:r>
        <w:rPr>
          <w:color w:val="000000"/>
        </w:rPr>
        <w:lastRenderedPageBreak/>
        <w:t>konteinerinėse cisternose, kilnojamose cisternose ar daugiaelemenčiuose dujų konteineriuose (DDK), kurių talpa didesnė nei 3 m-3 (FL, OX ir AT transporto priemonės) (išskyrus 9.7.4 punktą, kurio nuostatos taikomos įsigali</w:t>
      </w:r>
      <w:r>
        <w:rPr>
          <w:color w:val="000000"/>
        </w:rPr>
        <w:t>ojus šiam nutarimui).</w:t>
      </w:r>
    </w:p>
    <w:p w14:paraId="66E460FB" w14:textId="77777777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Iki Lietuvos Respublikos narystės Europos Sąjungoje dienos šalies viduje:</w:t>
      </w:r>
    </w:p>
    <w:p w14:paraId="66E460FC" w14:textId="77777777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>. pavojingus krovinius kelių transportu leidžiama vežti:</w:t>
      </w:r>
    </w:p>
    <w:p w14:paraId="66E460FD" w14:textId="77777777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>3.1.1</w:t>
      </w:r>
      <w:r>
        <w:rPr>
          <w:color w:val="000000"/>
        </w:rPr>
        <w:t>. šio nutarimo 2.1, 2.2, 2.3, 2.4 ir 2.5 punktuose nurodytų ADR reikalavimų neatit</w:t>
      </w:r>
      <w:r>
        <w:rPr>
          <w:color w:val="000000"/>
        </w:rPr>
        <w:t>inkančioje, nesertifikuotoje taroje (įskaitant didelę tarą ir VTK), jeigu ant šios taros matoma jos pagaminimo data, ji išbandyta pagal Lietuvos Respublikos teisės aktų reikalavimus ir atitinka nustatytuosius saugos reikalavimus;</w:t>
      </w:r>
    </w:p>
    <w:p w14:paraId="66E460FE" w14:textId="77777777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>3.1.2</w:t>
      </w:r>
      <w:r>
        <w:rPr>
          <w:color w:val="000000"/>
        </w:rPr>
        <w:t>. oficialaus tipo</w:t>
      </w:r>
      <w:r>
        <w:rPr>
          <w:color w:val="000000"/>
        </w:rPr>
        <w:t xml:space="preserve"> patvirtinimo neturinčiose stacionariose, nuimamose, konteinerinėse, kilnojamose cisternose ir nesertifikuotuose DDK, jeigu jie išbandyti pagal Lietuvos Respublikos teisės aktų reikalavimus ir atitinka nustatytuosius saugos reikalavimus;</w:t>
      </w:r>
    </w:p>
    <w:p w14:paraId="66E460FF" w14:textId="77777777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>. šio nut</w:t>
      </w:r>
      <w:r>
        <w:rPr>
          <w:color w:val="000000"/>
        </w:rPr>
        <w:t>arimo 2.6, 2.7, 2.8 ir 2.9 punktuose nurodytoms nuostatoms įgyvendinti taikomi susisiekimo ministro nustatyti reikalavimai kelių transporto priemonėms, vežančioms pavojingus krovinius;</w:t>
      </w:r>
    </w:p>
    <w:p w14:paraId="66E46100" w14:textId="77777777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>3.3</w:t>
      </w:r>
      <w:r>
        <w:rPr>
          <w:color w:val="000000"/>
        </w:rPr>
        <w:t>. vežant radioaktyviąsias medžiagas Lietuvos Respublikos teritor</w:t>
      </w:r>
      <w:r>
        <w:rPr>
          <w:color w:val="000000"/>
        </w:rPr>
        <w:t>ija, apšvitos ribinės dozės negali viršyti sveikatos apsaugos ministro nustatytųjų pagrindinėse radiacinės saugos normose.</w:t>
      </w:r>
    </w:p>
    <w:p w14:paraId="66E46101" w14:textId="77777777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Šis nutarimas, išskyrus 3.3 punktą, netaikomas:</w:t>
      </w:r>
    </w:p>
    <w:p w14:paraId="66E46102" w14:textId="77777777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 xml:space="preserve">. kariniam vežimui; </w:t>
      </w:r>
    </w:p>
    <w:p w14:paraId="66E46105" w14:textId="685559E2" w:rsidR="00645486" w:rsidRDefault="000A6639">
      <w:pPr>
        <w:ind w:firstLine="709"/>
        <w:jc w:val="both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 xml:space="preserve">. branduolinei energetikai skirtų </w:t>
      </w:r>
      <w:r>
        <w:rPr>
          <w:color w:val="000000"/>
        </w:rPr>
        <w:t>branduolinių medžiagų vežimui.“.</w:t>
      </w:r>
    </w:p>
    <w:bookmarkEnd w:id="0" w:displacedByCustomXml="next"/>
    <w:p w14:paraId="2D662EBC" w14:textId="77777777" w:rsidR="000A6639" w:rsidRDefault="000A6639">
      <w:pPr>
        <w:tabs>
          <w:tab w:val="right" w:pos="9639"/>
        </w:tabs>
      </w:pPr>
    </w:p>
    <w:p w14:paraId="755E2FC8" w14:textId="77777777" w:rsidR="000A6639" w:rsidRDefault="000A6639">
      <w:pPr>
        <w:tabs>
          <w:tab w:val="right" w:pos="9639"/>
        </w:tabs>
      </w:pPr>
    </w:p>
    <w:p w14:paraId="395C0FC1" w14:textId="77777777" w:rsidR="000A6639" w:rsidRDefault="000A6639">
      <w:pPr>
        <w:tabs>
          <w:tab w:val="right" w:pos="9639"/>
        </w:tabs>
      </w:pPr>
    </w:p>
    <w:p w14:paraId="66E46106" w14:textId="441BB0E6" w:rsidR="00645486" w:rsidRDefault="000A6639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ALGIRDAS BRAZAUSKAS</w:t>
      </w:r>
    </w:p>
    <w:p w14:paraId="66E46107" w14:textId="77777777" w:rsidR="00645486" w:rsidRDefault="00645486">
      <w:pPr>
        <w:tabs>
          <w:tab w:val="right" w:pos="9639"/>
        </w:tabs>
        <w:rPr>
          <w:caps/>
        </w:rPr>
      </w:pPr>
    </w:p>
    <w:p w14:paraId="1BD541F2" w14:textId="77777777" w:rsidR="000A6639" w:rsidRDefault="000A6639">
      <w:pPr>
        <w:tabs>
          <w:tab w:val="right" w:pos="9639"/>
        </w:tabs>
        <w:rPr>
          <w:caps/>
        </w:rPr>
      </w:pPr>
    </w:p>
    <w:p w14:paraId="5F4FAACB" w14:textId="77777777" w:rsidR="000A6639" w:rsidRDefault="000A6639">
      <w:pPr>
        <w:tabs>
          <w:tab w:val="right" w:pos="9639"/>
        </w:tabs>
        <w:rPr>
          <w:caps/>
        </w:rPr>
      </w:pPr>
    </w:p>
    <w:p w14:paraId="66E46108" w14:textId="77777777" w:rsidR="00645486" w:rsidRDefault="000A6639">
      <w:pPr>
        <w:tabs>
          <w:tab w:val="right" w:pos="9639"/>
        </w:tabs>
        <w:rPr>
          <w:caps/>
        </w:rPr>
      </w:pPr>
      <w:r>
        <w:rPr>
          <w:caps/>
        </w:rPr>
        <w:t>ŠVIETIMO IR MOKSLO MINISTRAS,</w:t>
      </w:r>
    </w:p>
    <w:p w14:paraId="66E46109" w14:textId="77777777" w:rsidR="00645486" w:rsidRDefault="000A6639">
      <w:pPr>
        <w:tabs>
          <w:tab w:val="right" w:pos="9639"/>
        </w:tabs>
        <w:rPr>
          <w:caps/>
        </w:rPr>
      </w:pPr>
      <w:r>
        <w:rPr>
          <w:caps/>
        </w:rPr>
        <w:t>PAVADUOJANTIS SUSISIEKIMO MINISTRĄ</w:t>
      </w:r>
      <w:r>
        <w:rPr>
          <w:caps/>
        </w:rPr>
        <w:tab/>
        <w:t>ALGIRDAS MONKEVIČIUS</w:t>
      </w:r>
    </w:p>
    <w:p w14:paraId="66E4610A" w14:textId="77777777" w:rsidR="00645486" w:rsidRDefault="00645486">
      <w:pPr>
        <w:tabs>
          <w:tab w:val="right" w:pos="9639"/>
        </w:tabs>
        <w:rPr>
          <w:caps/>
        </w:rPr>
      </w:pPr>
    </w:p>
    <w:p w14:paraId="66E4610C" w14:textId="77777777" w:rsidR="00645486" w:rsidRDefault="000A6639">
      <w:pPr>
        <w:jc w:val="center"/>
        <w:rPr>
          <w:color w:val="000000"/>
        </w:rPr>
      </w:pPr>
    </w:p>
    <w:sectPr w:rsidR="006454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46110" w14:textId="77777777" w:rsidR="00645486" w:rsidRDefault="000A6639">
      <w:r>
        <w:separator/>
      </w:r>
    </w:p>
  </w:endnote>
  <w:endnote w:type="continuationSeparator" w:id="0">
    <w:p w14:paraId="66E46111" w14:textId="77777777" w:rsidR="00645486" w:rsidRDefault="000A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46116" w14:textId="77777777" w:rsidR="00645486" w:rsidRDefault="0064548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46117" w14:textId="77777777" w:rsidR="00645486" w:rsidRDefault="0064548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46119" w14:textId="77777777" w:rsidR="00645486" w:rsidRDefault="0064548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4610E" w14:textId="77777777" w:rsidR="00645486" w:rsidRDefault="000A6639">
      <w:r>
        <w:separator/>
      </w:r>
    </w:p>
  </w:footnote>
  <w:footnote w:type="continuationSeparator" w:id="0">
    <w:p w14:paraId="66E4610F" w14:textId="77777777" w:rsidR="00645486" w:rsidRDefault="000A6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46112" w14:textId="77777777" w:rsidR="00645486" w:rsidRDefault="000A663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6E46113" w14:textId="77777777" w:rsidR="00645486" w:rsidRDefault="0064548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46114" w14:textId="77777777" w:rsidR="00645486" w:rsidRDefault="000A663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66E46115" w14:textId="77777777" w:rsidR="00645486" w:rsidRDefault="0064548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46118" w14:textId="77777777" w:rsidR="00645486" w:rsidRDefault="0064548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45"/>
    <w:rsid w:val="000A6639"/>
    <w:rsid w:val="002F1245"/>
    <w:rsid w:val="006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E46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32E0A3FB18C4"/>
  <Relationship Id="rId11" Type="http://schemas.openxmlformats.org/officeDocument/2006/relationships/hyperlink" TargetMode="External" Target="https://www.e-tar.lt/portal/lt/legalAct/TAR.65AD818F5F9C"/>
  <Relationship Id="rId12" Type="http://schemas.openxmlformats.org/officeDocument/2006/relationships/hyperlink" TargetMode="External" Target="https://www.e-tar.lt/portal/lt/legalAct/TAR.AA9AD4CCFDE3"/>
  <Relationship Id="rId13" Type="http://schemas.openxmlformats.org/officeDocument/2006/relationships/hyperlink" TargetMode="External" Target="https://www.e-tar.lt/portal/lt/legalAct/TAR.309A34330EAD"/>
  <Relationship Id="rId14" Type="http://schemas.openxmlformats.org/officeDocument/2006/relationships/hyperlink" TargetMode="External" Target="https://www.e-tar.lt/portal/lt/legalAct/TAR.73E77027AD48"/>
  <Relationship Id="rId15" Type="http://schemas.openxmlformats.org/officeDocument/2006/relationships/header" Target="header1.xml"/>
  <Relationship Id="rId16" Type="http://schemas.openxmlformats.org/officeDocument/2006/relationships/header" Target="header2.xml"/>
  <Relationship Id="rId17" Type="http://schemas.openxmlformats.org/officeDocument/2006/relationships/footer" Target="footer1.xml"/>
  <Relationship Id="rId18" Type="http://schemas.openxmlformats.org/officeDocument/2006/relationships/footer" Target="footer2.xml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3.xml"/>
  <Relationship Id="rId21" Type="http://schemas.openxmlformats.org/officeDocument/2006/relationships/fontTable" Target="fontTable.xml"/>
  <Relationship Id="rId22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3113</Words>
  <Characters>1775</Characters>
  <Application>Microsoft Office Word</Application>
  <DocSecurity>0</DocSecurity>
  <Lines>14</Lines>
  <Paragraphs>9</Paragraphs>
  <ScaleCrop>false</ScaleCrop>
  <Company/>
  <LinksUpToDate>false</LinksUpToDate>
  <CharactersWithSpaces>4879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2015-10-01T00:14:00Z</dcterms:created>
  <dc:creator>User</dc:creator>
  <lastModifiedBy>BODIN Aušra</lastModifiedBy>
  <dcterms:modified xsi:type="dcterms:W3CDTF">2017-06-07T07:26:00Z</dcterms:modified>
  <revision>3</revision>
</coreProperties>
</file>