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60" w:rsidRDefault="00B37960">
      <w:pPr>
        <w:tabs>
          <w:tab w:val="center" w:pos="4153"/>
          <w:tab w:val="right" w:pos="8306"/>
        </w:tabs>
        <w:rPr>
          <w:lang w:val="en-GB"/>
        </w:rPr>
      </w:pPr>
    </w:p>
    <w:p w:rsidR="00B37960" w:rsidRDefault="00B538BD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SVEIKATOS APSAUGOS MINISTRO</w:t>
      </w:r>
    </w:p>
    <w:p w:rsidR="00B37960" w:rsidRDefault="00B37960">
      <w:pPr>
        <w:jc w:val="center"/>
        <w:rPr>
          <w:color w:val="000000"/>
        </w:rPr>
      </w:pPr>
    </w:p>
    <w:p w:rsidR="00B37960" w:rsidRDefault="00B538BD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:rsidR="00B37960" w:rsidRDefault="00B538BD">
      <w:pPr>
        <w:jc w:val="center"/>
        <w:rPr>
          <w:b/>
          <w:color w:val="000000"/>
        </w:rPr>
      </w:pPr>
      <w:r>
        <w:rPr>
          <w:b/>
          <w:color w:val="000000"/>
        </w:rPr>
        <w:t>DĖL LIETUVOS HIGIENOS NORMOS HN 88:2005 „NEMEDICININĖS PASKIRTIES ATVIRŲJŲ JONIZUOJANČIOSIOS SPINDULIUOTĖS ŠALTINIŲ RADIACINĖ SAUGA“ PATVIRTINIMO</w:t>
      </w:r>
    </w:p>
    <w:p w:rsidR="00B37960" w:rsidRDefault="00B37960">
      <w:pPr>
        <w:jc w:val="center"/>
        <w:rPr>
          <w:color w:val="000000"/>
        </w:rPr>
      </w:pPr>
    </w:p>
    <w:p w:rsidR="00B37960" w:rsidRDefault="00B538BD">
      <w:pPr>
        <w:jc w:val="center"/>
        <w:rPr>
          <w:color w:val="000000"/>
        </w:rPr>
      </w:pPr>
      <w:r>
        <w:rPr>
          <w:color w:val="000000"/>
        </w:rPr>
        <w:t xml:space="preserve">2005 m. </w:t>
      </w:r>
      <w:r>
        <w:rPr>
          <w:color w:val="000000"/>
        </w:rPr>
        <w:t>rugsėjo 1 d. Nr. V-678</w:t>
      </w:r>
    </w:p>
    <w:p w:rsidR="00B37960" w:rsidRDefault="00B538BD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Vadovaudamasis Lietuvos Respublikos radiacinės saugos įstatymo (Žin., 1999, Nr. </w:t>
      </w:r>
      <w:hyperlink r:id="rId9" w:tgtFrame="_blank" w:history="1">
        <w:r>
          <w:rPr>
            <w:color w:val="0000FF" w:themeColor="hyperlink"/>
            <w:szCs w:val="22"/>
            <w:u w:val="single"/>
          </w:rPr>
          <w:t>11-239</w:t>
        </w:r>
      </w:hyperlink>
      <w:r>
        <w:rPr>
          <w:color w:val="000000"/>
          <w:szCs w:val="22"/>
        </w:rPr>
        <w:t>) 7 straipsnio nuostatomis: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Lietuvos higien</w:t>
      </w:r>
      <w:r>
        <w:rPr>
          <w:color w:val="000000"/>
          <w:szCs w:val="22"/>
        </w:rPr>
        <w:t>os normą HN 88:2005 „Nemedicininės paskirties atvirųjų jonizuojančiosios spinduliuotės šaltinių radiacinė sauga“ (pridedama).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Pripažįstu</w:t>
      </w:r>
      <w:r>
        <w:rPr>
          <w:color w:val="000000"/>
          <w:szCs w:val="22"/>
        </w:rPr>
        <w:t xml:space="preserve"> netekusiu galios Lietuvos Respublikos sveikatos apsaugos ministro 2000 m. liepos 1 d. įsakymą Nr. 374 „Dėl Lietu</w:t>
      </w:r>
      <w:r>
        <w:rPr>
          <w:color w:val="000000"/>
          <w:szCs w:val="22"/>
        </w:rPr>
        <w:t xml:space="preserve">vos higienos normos HN 88:2000 „Nemedicininės paskirties atvirųjų jonizuojančiosios spinduliuotės šaltinių radiacinė sauga ir saugumas“ patvirtinimo“ (Žin., 2000,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57-1690</w:t>
        </w:r>
      </w:hyperlink>
      <w:r>
        <w:rPr>
          <w:color w:val="000000"/>
          <w:szCs w:val="22"/>
        </w:rPr>
        <w:t>).</w:t>
      </w:r>
    </w:p>
    <w:p w:rsidR="00B538BD" w:rsidRDefault="00B538BD">
      <w:pPr>
        <w:tabs>
          <w:tab w:val="right" w:pos="9639"/>
        </w:tabs>
      </w:pPr>
    </w:p>
    <w:p w:rsidR="00B538BD" w:rsidRDefault="00B538BD">
      <w:pPr>
        <w:tabs>
          <w:tab w:val="right" w:pos="9639"/>
        </w:tabs>
      </w:pPr>
    </w:p>
    <w:p w:rsidR="00B538BD" w:rsidRDefault="00B538BD">
      <w:pPr>
        <w:tabs>
          <w:tab w:val="right" w:pos="9639"/>
        </w:tabs>
      </w:pPr>
    </w:p>
    <w:p w:rsidR="00B37960" w:rsidRDefault="00B538BD" w:rsidP="00B538BD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p w:rsidR="00B538BD" w:rsidRDefault="00B538BD">
      <w:pPr>
        <w:ind w:firstLine="5102"/>
        <w:sectPr w:rsidR="00B538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lastRenderedPageBreak/>
        <w:t>PATVIRTINTA</w:t>
      </w:r>
    </w:p>
    <w:p w:rsidR="00B37960" w:rsidRDefault="00B538BD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 xml:space="preserve">Lietuvos Respublikos sveikatos apsaugos 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 xml:space="preserve">ministro 2005 m. rugsėjo 1 d. įsakymu 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>Nr. V-678</w:t>
      </w:r>
    </w:p>
    <w:p w:rsidR="00B37960" w:rsidRDefault="00B37960">
      <w:pPr>
        <w:jc w:val="center"/>
        <w:rPr>
          <w:b/>
          <w:bCs/>
          <w:caps/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LIETUVOS HIGIENOS NORMA HN 88:2005</w:t>
      </w: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 xml:space="preserve">„NEMEDICININĖS PASKIRTIES ATVIRŲJŲ </w:t>
      </w:r>
      <w:r>
        <w:rPr>
          <w:b/>
          <w:bCs/>
          <w:caps/>
          <w:color w:val="000000"/>
          <w:szCs w:val="22"/>
        </w:rPr>
        <w:t>JONIZUOJANČIOSIOS SPINDULIUOTĖS ŠALTINIŲ RADIACINĖ SAUGA“</w:t>
      </w:r>
    </w:p>
    <w:p w:rsidR="00B37960" w:rsidRDefault="00B37960">
      <w:pPr>
        <w:jc w:val="center"/>
        <w:rPr>
          <w:b/>
          <w:bCs/>
          <w:caps/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TAIKYMO SRITIS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Ši higienos norma nustato darbuotojų ir gyventojų radiacinės saugos reikalavimus naudojant nemedicininius atviruosius jonizuojančiosios spinduliuotės šaltinius (toliau</w:t>
      </w:r>
      <w:r>
        <w:rPr>
          <w:color w:val="000000"/>
          <w:szCs w:val="22"/>
        </w:rPr>
        <w:t xml:space="preserve"> – šaltiniai) pramonėje, mokyme, moksle ir kitos veiklos srityse bei papildo nustatytus bendruosius radiacinės saugos reikalavimus [3.4].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Ši higienos norma yra privaloma visiems fiziniams ir juridiniams asmenims, Lietuvos Respublikoje įsteigtiems Eu</w:t>
      </w:r>
      <w:r>
        <w:rPr>
          <w:color w:val="000000"/>
          <w:szCs w:val="22"/>
        </w:rPr>
        <w:t>ropos Ekonominės Erdvės valstybių įmonių filialams, ketinantiems vykdyti ar vykdantiems veiklą su šaltiniais (gaminantiems, naudojantiems, prekiaujantiems, saugojantiems, perdirbantiems ir pakartotinai panaudojantiems, vežantiems šaltinius, tvarkantiems ir</w:t>
      </w:r>
      <w:r>
        <w:rPr>
          <w:color w:val="000000"/>
          <w:szCs w:val="22"/>
        </w:rPr>
        <w:t xml:space="preserve"> išmetantiems į aplinką radioaktyviąsias atliekas, projektuojantiems ir statantiems statinius, kuriuose vykdoma veikla su šaltiniais, išdėstantiems šaltinius statiniuose), bei institucijai, vykdančiai valstybinę radiacinės saugos priežiūrą ir kontrolę.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NUORODOS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Teisės aktai, į kuriuos šioje higienos normoje pateikiamos nuorodos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</w:t>
      </w:r>
      <w:r>
        <w:rPr>
          <w:color w:val="000000"/>
          <w:szCs w:val="22"/>
        </w:rPr>
        <w:t xml:space="preserve">. Lietuvos Respublikos radiacinės saugos įstatymas (Žin., 1999, Nr. </w:t>
      </w:r>
      <w:hyperlink r:id="rId17" w:tgtFrame="_blank" w:history="1">
        <w:r>
          <w:rPr>
            <w:color w:val="0000FF" w:themeColor="hyperlink"/>
            <w:szCs w:val="22"/>
            <w:u w:val="single"/>
          </w:rPr>
          <w:t>11-239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3.2</w:t>
      </w:r>
      <w:r>
        <w:rPr>
          <w:color w:val="000000"/>
          <w:szCs w:val="22"/>
        </w:rPr>
        <w:t xml:space="preserve">. Lietuvos Respublikos radioaktyviųjų atliekų tvarkymo įstatymas (Žin., 1999, Nr. </w:t>
      </w:r>
      <w:hyperlink r:id="rId18" w:tgtFrame="_blank" w:history="1">
        <w:r>
          <w:rPr>
            <w:color w:val="0000FF" w:themeColor="hyperlink"/>
            <w:szCs w:val="22"/>
            <w:u w:val="single"/>
          </w:rPr>
          <w:t>50-1600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3.3</w:t>
      </w:r>
      <w:r>
        <w:rPr>
          <w:color w:val="000000"/>
          <w:szCs w:val="22"/>
        </w:rPr>
        <w:t>. Lietuvos Respublikos Vyriausybės 2004 m. vasario 23 d. nutarimas Nr. 20</w:t>
      </w:r>
      <w:r>
        <w:rPr>
          <w:color w:val="000000"/>
          <w:szCs w:val="22"/>
        </w:rPr>
        <w:t>5 „Dėl Lietuvos Respublikos Vyriausybės 1999 m. gegužės 25 d. nutarimo Nr. 653 „Dėl Veiklos su jonizuojančiosios spinduliuotės šaltiniais licencijavimo nuostatų patvirtinimo“ pakeitimo“ (Žin., 2004, Nr. 30-991).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3.4</w:t>
      </w:r>
      <w:r>
        <w:rPr>
          <w:color w:val="000000"/>
          <w:szCs w:val="22"/>
        </w:rPr>
        <w:t>. Lietuvos Respublikos sveikatos apsa</w:t>
      </w:r>
      <w:r>
        <w:rPr>
          <w:color w:val="000000"/>
          <w:szCs w:val="22"/>
        </w:rPr>
        <w:t xml:space="preserve">ugos ministro 2001 m. gruodžio 21 d. įsakymas Nr. 663 „Dėl Lietuvos higienos normos HN 73:2001 „Pagrindinės radiacinės saugos normos“ patvirtinimo“ (Žin., 2002, Nr. </w:t>
      </w:r>
      <w:hyperlink r:id="rId19" w:tgtFrame="_blank" w:history="1">
        <w:r>
          <w:rPr>
            <w:color w:val="0000FF" w:themeColor="hyperlink"/>
            <w:szCs w:val="22"/>
            <w:u w:val="single"/>
          </w:rPr>
          <w:t>11-388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.5</w:t>
      </w:r>
      <w:r>
        <w:rPr>
          <w:color w:val="000000"/>
          <w:szCs w:val="22"/>
        </w:rPr>
        <w:t xml:space="preserve">. Lietuvos Respublikos sveikatos apsaugos ministro 2004 m. gruodžio 9 d. įsakymas Nr. V-889 „Dėl Lietuvos higienos normos HN 83:2004 „Komandiruotų darbuotojų radiacinė sauga“ patvirtinimo“ (Žin., 2004, Nr. </w:t>
      </w:r>
      <w:hyperlink r:id="rId20" w:tgtFrame="_blank" w:history="1">
        <w:r>
          <w:rPr>
            <w:color w:val="0000FF" w:themeColor="hyperlink"/>
            <w:szCs w:val="22"/>
            <w:u w:val="single"/>
          </w:rPr>
          <w:t>182-6744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3.6</w:t>
      </w:r>
      <w:r>
        <w:rPr>
          <w:color w:val="000000"/>
          <w:szCs w:val="22"/>
        </w:rPr>
        <w:t>. Lietuvos Respublikos sveikatos apsaugos ministro 2001 m. vasario 19 d. įsakymas Nr. 121 „Dėl Lietuvos higienos normos HN 89:2001 „Radioaktyviųjų atliekų tvarky</w:t>
      </w:r>
      <w:r>
        <w:rPr>
          <w:color w:val="000000"/>
          <w:szCs w:val="22"/>
        </w:rPr>
        <w:t xml:space="preserve">mas“ patvirtinimo“ (Žin., 2001, Nr. </w:t>
      </w:r>
      <w:hyperlink r:id="rId21" w:tgtFrame="_blank" w:history="1">
        <w:r>
          <w:rPr>
            <w:color w:val="0000FF" w:themeColor="hyperlink"/>
            <w:szCs w:val="22"/>
            <w:u w:val="single"/>
          </w:rPr>
          <w:t>18-565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3.7</w:t>
      </w:r>
      <w:r>
        <w:rPr>
          <w:color w:val="000000"/>
          <w:szCs w:val="22"/>
        </w:rPr>
        <w:t>. Lietuvos Respublikos sveikatos apsaugos ministro 1999 m. balandžio 19 d. įsakymas Nr. 171 „Dėl Atsakingųjų už radiacinę sau</w:t>
      </w:r>
      <w:r>
        <w:rPr>
          <w:color w:val="000000"/>
          <w:szCs w:val="22"/>
        </w:rPr>
        <w:t xml:space="preserve">gą ir dirbančiųjų su jonizuojančiosios spinduliuojančiosios spinduliuotės šaltiniais privalomojo mokymo, instruktavimo tvarkos“ (Žin., 1999, Nr. </w:t>
      </w:r>
      <w:hyperlink r:id="rId22" w:tgtFrame="_blank" w:history="1">
        <w:r>
          <w:rPr>
            <w:color w:val="0000FF" w:themeColor="hyperlink"/>
            <w:szCs w:val="22"/>
            <w:u w:val="single"/>
          </w:rPr>
          <w:t>36-1098</w:t>
        </w:r>
      </w:hyperlink>
      <w:r>
        <w:rPr>
          <w:color w:val="000000"/>
          <w:szCs w:val="22"/>
        </w:rPr>
        <w:t xml:space="preserve">; 2001, Nr. </w:t>
      </w:r>
      <w:hyperlink r:id="rId23" w:tgtFrame="_blank" w:history="1">
        <w:r>
          <w:rPr>
            <w:color w:val="0000FF" w:themeColor="hyperlink"/>
            <w:szCs w:val="22"/>
            <w:u w:val="single"/>
          </w:rPr>
          <w:t>89-3136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3.8</w:t>
      </w:r>
      <w:r>
        <w:rPr>
          <w:color w:val="000000"/>
          <w:szCs w:val="22"/>
        </w:rPr>
        <w:t>. Lietuvos Respublikos sveikatos apsaugos ministro 1999 m. liepos 20 d. įsakymas Nr. 335 „Dėl Informacijos apie jonizuojančiosios spinduliuotės šaltinius bei duomenų apie da</w:t>
      </w:r>
      <w:r>
        <w:rPr>
          <w:color w:val="000000"/>
          <w:szCs w:val="22"/>
        </w:rPr>
        <w:t xml:space="preserve">rbuotojus, dirbančius su jonizuojančiosios spinduliuotės šaltiniais, pateikimo Valstybės jonizuojančiosios spinduliuotės šaltinių ir darbuotojų apšvitos registrui tvarkos“ (Žin., 1999, Nr. </w:t>
      </w:r>
      <w:hyperlink r:id="rId24" w:tgtFrame="_blank" w:history="1">
        <w:r>
          <w:rPr>
            <w:color w:val="0000FF" w:themeColor="hyperlink"/>
            <w:szCs w:val="22"/>
            <w:u w:val="single"/>
          </w:rPr>
          <w:t>65-2103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3.9</w:t>
      </w:r>
      <w:r>
        <w:rPr>
          <w:color w:val="000000"/>
          <w:szCs w:val="22"/>
        </w:rPr>
        <w:t xml:space="preserve">. Lietuvos Respublikos aplinkos ministro 2001 m. sausio 23 d. įsakymas Nr. 59 „Dėl normatyvinio dokumento LAND 41-2001 „Radionuklidų išmetimo į aplinką iš medicinos, </w:t>
      </w:r>
      <w:r>
        <w:rPr>
          <w:color w:val="000000"/>
          <w:szCs w:val="22"/>
        </w:rPr>
        <w:lastRenderedPageBreak/>
        <w:t>pramonės, žemės ūkio objektų bei atliekant mokslinius tyrimus</w:t>
      </w:r>
      <w:r>
        <w:rPr>
          <w:color w:val="000000"/>
          <w:szCs w:val="22"/>
        </w:rPr>
        <w:t xml:space="preserve"> normos ir radioaktyviųjų teršalų išmetimo leidimų išdavimo tvarka“ patvirtinimo“ (Žin., 2001, Nr. </w:t>
      </w:r>
      <w:hyperlink r:id="rId25" w:tgtFrame="_blank" w:history="1">
        <w:r>
          <w:rPr>
            <w:color w:val="0000FF" w:themeColor="hyperlink"/>
            <w:szCs w:val="22"/>
            <w:u w:val="single"/>
          </w:rPr>
          <w:t>13-414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3.10</w:t>
      </w:r>
      <w:r>
        <w:rPr>
          <w:color w:val="000000"/>
          <w:szCs w:val="22"/>
        </w:rPr>
        <w:t xml:space="preserve">. Lietuvos Respublikos aplinkos ministro 2004 m. gruodžio 30 </w:t>
      </w:r>
      <w:r>
        <w:rPr>
          <w:color w:val="000000"/>
          <w:szCs w:val="22"/>
        </w:rPr>
        <w:t xml:space="preserve">d. įsakymas Nr. D1-708 „Dėl Statybos techninio reglamento STR 1.05.06:2005 „Statinio projektavimas“ patvirtinimo“ (Žin., 2005, Nr. </w:t>
      </w:r>
      <w:hyperlink r:id="rId26" w:tgtFrame="_blank" w:history="1">
        <w:r>
          <w:rPr>
            <w:color w:val="0000FF" w:themeColor="hyperlink"/>
            <w:szCs w:val="22"/>
            <w:u w:val="single"/>
          </w:rPr>
          <w:t>4-80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3.11</w:t>
      </w:r>
      <w:r>
        <w:rPr>
          <w:color w:val="000000"/>
          <w:szCs w:val="22"/>
        </w:rPr>
        <w:t>. Radiacinės saugos centro dire</w:t>
      </w:r>
      <w:r>
        <w:rPr>
          <w:color w:val="000000"/>
          <w:szCs w:val="22"/>
        </w:rPr>
        <w:t xml:space="preserve">ktoriaus 1999 m. gruodžio 31 d. įsakymas Nr. 44 „Dėl Darbuotojų apšvitos ir darbo vietų monitoringų tvarkos“ (Žin., 2000, Nr. </w:t>
      </w:r>
      <w:hyperlink r:id="rId27" w:tgtFrame="_blank" w:history="1">
        <w:r>
          <w:rPr>
            <w:color w:val="0000FF" w:themeColor="hyperlink"/>
            <w:szCs w:val="22"/>
            <w:u w:val="single"/>
          </w:rPr>
          <w:t>38-1086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3.12</w:t>
      </w:r>
      <w:r>
        <w:rPr>
          <w:color w:val="000000"/>
          <w:szCs w:val="22"/>
        </w:rPr>
        <w:t>. Radiacinės saugos centro direkt</w:t>
      </w:r>
      <w:r>
        <w:rPr>
          <w:color w:val="000000"/>
          <w:szCs w:val="22"/>
        </w:rPr>
        <w:t xml:space="preserve">oriaus 2003 m. birželio 16 d. įsakymas Nr. 19 „Dėl Asmeninių apsauginių priemonių naudojimo dirbant su jonizuojančiosios spinduliuotės šaltiniais taisyklių“ (Žin., 2003, Nr. </w:t>
      </w:r>
      <w:hyperlink r:id="rId28" w:tgtFrame="_blank" w:history="1">
        <w:r>
          <w:rPr>
            <w:color w:val="0000FF" w:themeColor="hyperlink"/>
            <w:szCs w:val="22"/>
            <w:u w:val="single"/>
          </w:rPr>
          <w:t>60-</w:t>
        </w:r>
        <w:r>
          <w:rPr>
            <w:color w:val="0000FF" w:themeColor="hyperlink"/>
            <w:szCs w:val="22"/>
            <w:u w:val="single"/>
          </w:rPr>
          <w:t>2749</w:t>
        </w:r>
      </w:hyperlink>
      <w:r>
        <w:rPr>
          <w:color w:val="000000"/>
          <w:szCs w:val="22"/>
        </w:rPr>
        <w:t>).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SĄVOKOS IR JŲ APIBRĖŽIMAI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Šioje higienos normoje vartojamos sąvokos ir jų apibrėžimai: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4.1</w:t>
      </w:r>
      <w:r>
        <w:rPr>
          <w:color w:val="000000"/>
          <w:szCs w:val="22"/>
        </w:rPr>
        <w:t xml:space="preserve">. </w:t>
      </w:r>
      <w:r>
        <w:rPr>
          <w:b/>
          <w:bCs/>
          <w:color w:val="000000"/>
          <w:szCs w:val="22"/>
        </w:rPr>
        <w:t>uždarasis jonizuojančiosios spinduliuotės šaltinis</w:t>
      </w:r>
      <w:r>
        <w:rPr>
          <w:color w:val="000000"/>
          <w:szCs w:val="22"/>
        </w:rPr>
        <w:t xml:space="preserve"> – sandariame uždarame apvalkale esanti radioaktyvioji medžiaga;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4.2</w:t>
      </w:r>
      <w:r>
        <w:rPr>
          <w:color w:val="000000"/>
          <w:szCs w:val="22"/>
        </w:rPr>
        <w:t xml:space="preserve">. </w:t>
      </w:r>
      <w:r>
        <w:rPr>
          <w:b/>
          <w:bCs/>
          <w:color w:val="000000"/>
          <w:szCs w:val="22"/>
        </w:rPr>
        <w:t>atvirasis</w:t>
      </w:r>
      <w:r>
        <w:rPr>
          <w:b/>
          <w:bCs/>
          <w:color w:val="000000"/>
          <w:szCs w:val="22"/>
        </w:rPr>
        <w:t xml:space="preserve"> jonizuojančiosios spinduliuotės šaltinis</w:t>
      </w:r>
      <w:r>
        <w:rPr>
          <w:color w:val="000000"/>
          <w:szCs w:val="22"/>
        </w:rPr>
        <w:t xml:space="preserve"> – šaltinis, neatitinkantis uždarojo šaltinio apibrėžimo;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4.3</w:t>
      </w:r>
      <w:r>
        <w:rPr>
          <w:color w:val="000000"/>
          <w:szCs w:val="22"/>
        </w:rPr>
        <w:t>. kitos šioje higienos normoje vartojamos sąvokos ir apibrėžimai atitinka pateiktas sąvokas ir jų apibrėžimus [3.4].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IV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 xml:space="preserve">BENDRIEJI </w:t>
      </w:r>
      <w:r>
        <w:rPr>
          <w:b/>
          <w:bCs/>
          <w:caps/>
          <w:color w:val="000000"/>
          <w:szCs w:val="22"/>
        </w:rPr>
        <w:t>REIKALAVIMAI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>. Fiziniai ir juridiniai asmenys, Lietuvos Respublikoje įsteigti Europos Ekonominės Erdvės valstybių įmonių filialai, kurie ketina vykdyti veiklą su šaltiniais, privalo apie tai raštu pranešti Radiacinės saugos centrui ir nustatyta tvark</w:t>
      </w:r>
      <w:r>
        <w:rPr>
          <w:color w:val="000000"/>
          <w:szCs w:val="22"/>
        </w:rPr>
        <w:t>a gauti licenciją [3.3].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 xml:space="preserve">. Fiziniai ir juridiniai asmenys, Lietuvos Respublikoje įsteigti Europos Ekonominės Erdvės valstybių įmonių filialai, vykdantys veiklą su šaltiniais (toliau – licencijos turėtojas), apie numatomus veiklos pasikeitimus privalo </w:t>
      </w:r>
      <w:r>
        <w:rPr>
          <w:color w:val="000000"/>
          <w:szCs w:val="22"/>
        </w:rPr>
        <w:t>pranešti Radiacinės saugos centrui nustatyta tvarka [3.3].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Pažeidus šios higienos normos reikalavimus, licencijos turėtojas privalo: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7.1</w:t>
      </w:r>
      <w:r>
        <w:rPr>
          <w:color w:val="000000"/>
          <w:szCs w:val="22"/>
        </w:rPr>
        <w:t>. pranešti Radiacinės saugos centrui apie pažeidimus;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7.2</w:t>
      </w:r>
      <w:r>
        <w:rPr>
          <w:color w:val="000000"/>
          <w:szCs w:val="22"/>
        </w:rPr>
        <w:t>. nustatyti pažeidimo priežastis ir padarinius;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7.3</w:t>
      </w:r>
      <w:r>
        <w:rPr>
          <w:color w:val="000000"/>
          <w:szCs w:val="22"/>
        </w:rPr>
        <w:t>. pašalinti pažeidimų priežastis ir padarinius, vengti jų pasikartojimo;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7.4</w:t>
      </w:r>
      <w:r>
        <w:rPr>
          <w:color w:val="000000"/>
          <w:szCs w:val="22"/>
        </w:rPr>
        <w:t>. raštu pateikti Radiacinės saugos centrui pažeidimų priežastis ir padarinius bei taikytus veiksmus padariniams pašalinti ir numatytas priemones pažeidimams išvengti.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>. Įvykus radiologinei avarijai, licencijos turėtojas Radiacinės saugos centrą privalo informuoti teisės aktų nustatyta tvarka [3.4].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Valstybinę radiacinės saugos priežiūrą ir kontrolę vykdo Radiacinės saugos centras.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DARBUOTOJŲ MOKYMAS,</w:t>
      </w:r>
      <w:r>
        <w:rPr>
          <w:b/>
          <w:bCs/>
          <w:caps/>
          <w:color w:val="000000"/>
          <w:szCs w:val="22"/>
        </w:rPr>
        <w:t xml:space="preserve"> INSTRUKTAVIMAS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10</w:t>
      </w:r>
      <w:r>
        <w:rPr>
          <w:color w:val="000000"/>
          <w:szCs w:val="22"/>
        </w:rPr>
        <w:t>. Darbuotojai turi būti mokomi ir instruktuojami radiacinės saugos klausimais nustatyta tvarka [3.7].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11</w:t>
      </w:r>
      <w:r>
        <w:rPr>
          <w:color w:val="000000"/>
          <w:szCs w:val="22"/>
        </w:rPr>
        <w:t>. Licencijos turėtojas, atsižvelgęs į pakitusias darbo sąlygas, privalo peržiūrėti radiacinės saugos instrukcijų turinį ir in</w:t>
      </w:r>
      <w:r>
        <w:rPr>
          <w:color w:val="000000"/>
          <w:szCs w:val="22"/>
        </w:rPr>
        <w:t>struktavimo dažnumą.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>. Su šaltiniais dirbti gali tik reikiamą profesinę kvalifikaciją turintys darbuotojai.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</w:t>
      </w:r>
      <w:r>
        <w:rPr>
          <w:color w:val="000000"/>
          <w:szCs w:val="22"/>
        </w:rPr>
        <w:t>. Licencijos turėtojas turi užtikrinti, kad darbuotojai žinotų: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13.1</w:t>
      </w:r>
      <w:r>
        <w:rPr>
          <w:color w:val="000000"/>
          <w:szCs w:val="22"/>
        </w:rPr>
        <w:t>. licencijos galiojimo sąlygas;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13.2</w:t>
      </w:r>
      <w:r>
        <w:rPr>
          <w:color w:val="000000"/>
          <w:szCs w:val="22"/>
        </w:rPr>
        <w:t>. su pareigų atlikimu gali</w:t>
      </w:r>
      <w:r>
        <w:rPr>
          <w:color w:val="000000"/>
          <w:szCs w:val="22"/>
        </w:rPr>
        <w:t>mai susijusius pavojus ir apsisaugojimo nuo jų būdus bei priemones;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13.3</w:t>
      </w:r>
      <w:r>
        <w:rPr>
          <w:color w:val="000000"/>
          <w:szCs w:val="22"/>
        </w:rPr>
        <w:t>. darbo su šaltiniais tvarką ir procedūras;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13.4</w:t>
      </w:r>
      <w:r>
        <w:rPr>
          <w:color w:val="000000"/>
          <w:szCs w:val="22"/>
        </w:rPr>
        <w:t>. vidaus darbo saugos taisykles.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</w:t>
      </w:r>
      <w:r>
        <w:rPr>
          <w:color w:val="000000"/>
          <w:szCs w:val="22"/>
        </w:rPr>
        <w:t>. Licencijos turėtojas turi užtikrinti, kad darbuotojai laikytųsi radiacinės saugos nor</w:t>
      </w:r>
      <w:r>
        <w:rPr>
          <w:color w:val="000000"/>
          <w:szCs w:val="22"/>
        </w:rPr>
        <w:t>mų, instrukcijų, taisyklių reikalavimų bei procedūrų aprašymų.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</w:t>
      </w:r>
      <w:r>
        <w:rPr>
          <w:color w:val="000000"/>
          <w:szCs w:val="22"/>
        </w:rPr>
        <w:t>. Licencijos turėtojas turi užtikrinti, kad darbuotojai mokėtų: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15.1</w:t>
      </w:r>
      <w:r>
        <w:rPr>
          <w:color w:val="000000"/>
          <w:szCs w:val="22"/>
        </w:rPr>
        <w:t>. dirbti su šaltiniais;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15.2</w:t>
      </w:r>
      <w:r>
        <w:rPr>
          <w:color w:val="000000"/>
          <w:szCs w:val="22"/>
        </w:rPr>
        <w:t>. naudotis dozimetriniais ir paviršių radioaktyviosios taršos matavimo prietaisais;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15.3</w:t>
      </w:r>
      <w:r>
        <w:rPr>
          <w:color w:val="000000"/>
          <w:szCs w:val="22"/>
        </w:rPr>
        <w:t>. naudotis asmeninėmis apsauginėmis priemonėmis;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15.4</w:t>
      </w:r>
      <w:r>
        <w:rPr>
          <w:color w:val="000000"/>
          <w:szCs w:val="22"/>
        </w:rPr>
        <w:t>. atlikti privalomus veiksmus radiologinės avarijos atveju.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DARBUOTOJŲ RADIACINĖ SAUGA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16</w:t>
      </w:r>
      <w:r>
        <w:rPr>
          <w:color w:val="000000"/>
          <w:szCs w:val="22"/>
        </w:rPr>
        <w:t xml:space="preserve">. Už darbuotojų, kuriuos veikia arba gali veikti licencijos turėtojui priklausančių </w:t>
      </w:r>
      <w:r>
        <w:rPr>
          <w:color w:val="000000"/>
          <w:szCs w:val="22"/>
        </w:rPr>
        <w:t>šaltinių spinduliuotė, radiacinę saugą atsako licencijos turėtojas.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17</w:t>
      </w:r>
      <w:r>
        <w:rPr>
          <w:color w:val="000000"/>
          <w:szCs w:val="22"/>
        </w:rPr>
        <w:t>. Siekiant užtikrinti radiacinės saugos reikalavimus, licencijos turėtojas turi parengti ir įgyvendinti radiacinės saugos programą, atitinkančią šios higienos normos ir kitų teisės a</w:t>
      </w:r>
      <w:r>
        <w:rPr>
          <w:color w:val="000000"/>
          <w:szCs w:val="22"/>
        </w:rPr>
        <w:t>ktų reikalavimus [3.1, 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18</w:t>
      </w:r>
      <w:r>
        <w:rPr>
          <w:color w:val="000000"/>
          <w:szCs w:val="22"/>
        </w:rPr>
        <w:t>. Darbuotojų radiacinė sauga turi būti užtikrinama vadovaujantis šios higienos normos ir kitų teisės aktų reikalavimais [3.1, 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19</w:t>
      </w:r>
      <w:r>
        <w:rPr>
          <w:color w:val="000000"/>
          <w:szCs w:val="22"/>
        </w:rPr>
        <w:t>. Licencijos turėtojas privalo užtikrinti, kad: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19.1</w:t>
      </w:r>
      <w:r>
        <w:rPr>
          <w:color w:val="000000"/>
          <w:szCs w:val="22"/>
        </w:rPr>
        <w:t>. su šaltiniais dirbančių dar</w:t>
      </w:r>
      <w:r>
        <w:rPr>
          <w:color w:val="000000"/>
          <w:szCs w:val="22"/>
        </w:rPr>
        <w:t>buotojų apšvita neviršytų nustatytų profesinės apšvitos lygių [3.4];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19.2</w:t>
      </w:r>
      <w:r>
        <w:rPr>
          <w:color w:val="000000"/>
          <w:szCs w:val="22"/>
        </w:rPr>
        <w:t>. darbuotojai būtų aprūpinti tinkamomis asmeninėmis apsauginėmis priemonėmis ir turėtų jų atsargą radiologinės avarijos padarinių likvidavimo atvejams.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20</w:t>
      </w:r>
      <w:r>
        <w:rPr>
          <w:color w:val="000000"/>
          <w:szCs w:val="22"/>
        </w:rPr>
        <w:t>. Darbuotojų apšvit</w:t>
      </w:r>
      <w:r>
        <w:rPr>
          <w:color w:val="000000"/>
          <w:szCs w:val="22"/>
        </w:rPr>
        <w:t>os ir darbo vietų stebėsena, duomenų registravimas ir saugojimas turi būti atliekamas pagal nustatytus reikalavimus [3.11].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21</w:t>
      </w:r>
      <w:r>
        <w:rPr>
          <w:color w:val="000000"/>
          <w:szCs w:val="22"/>
        </w:rPr>
        <w:t>. Jeigu licencijos turėtojas darbui su šaltiniais pasitelkia kitos įmonės darbuotojus, tai šių darbuotojų radiacinė sauga turi</w:t>
      </w:r>
      <w:r>
        <w:rPr>
          <w:color w:val="000000"/>
          <w:szCs w:val="22"/>
        </w:rPr>
        <w:t xml:space="preserve"> būti užtikrinta pagal nustatytus reikalavimus [3.5].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22</w:t>
      </w:r>
      <w:r>
        <w:rPr>
          <w:color w:val="000000"/>
          <w:szCs w:val="22"/>
        </w:rPr>
        <w:t>. Darbuotojai privalo: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22.1</w:t>
      </w:r>
      <w:r>
        <w:rPr>
          <w:color w:val="000000"/>
          <w:szCs w:val="22"/>
        </w:rPr>
        <w:t>. vykdyti licencijos turėtojo nustatytas radiacinės saugos ir šaltinių fizinės saugos užtikrinimo procedūras ir taisykles;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22.2</w:t>
      </w:r>
      <w:r>
        <w:rPr>
          <w:color w:val="000000"/>
          <w:szCs w:val="22"/>
        </w:rPr>
        <w:t>. teisingai naudotis apsauginėmis pr</w:t>
      </w:r>
      <w:r>
        <w:rPr>
          <w:color w:val="000000"/>
          <w:szCs w:val="22"/>
        </w:rPr>
        <w:t>iemonėmis, darbo įranga ir matavimo prietaisais;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22.3</w:t>
      </w:r>
      <w:r>
        <w:rPr>
          <w:color w:val="000000"/>
          <w:szCs w:val="22"/>
        </w:rPr>
        <w:t>. nedaryti tyčinių veiksmų, galinčių sukelti jų pačių ar kitų asmenų padidintos apšvitos ar radioaktyviosios taršos pavojų;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22.4</w:t>
      </w:r>
      <w:r>
        <w:rPr>
          <w:color w:val="000000"/>
          <w:szCs w:val="22"/>
        </w:rPr>
        <w:t>. pastebėję, kad nevykdomi šios higienos normos reikalavimai, nedel</w:t>
      </w:r>
      <w:r>
        <w:rPr>
          <w:color w:val="000000"/>
          <w:szCs w:val="22"/>
        </w:rPr>
        <w:t>siant apie tai pranešti licencijos turėtojui.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</w:t>
      </w:r>
      <w:r>
        <w:rPr>
          <w:color w:val="000000"/>
          <w:szCs w:val="22"/>
        </w:rPr>
        <w:t>. Dirbant su šaltiniais būtina vykdyti šiuos reikalavimus: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</w:t>
      </w:r>
      <w:r>
        <w:rPr>
          <w:color w:val="000000"/>
          <w:szCs w:val="22"/>
        </w:rPr>
        <w:t>. dirbti su šaltiniais gali tik tokią teisę turintys darbuotojai;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23.2</w:t>
      </w:r>
      <w:r>
        <w:rPr>
          <w:color w:val="000000"/>
          <w:szCs w:val="22"/>
        </w:rPr>
        <w:t>. prieš pradedant darbą su šaltiniais turi būti atliekamas bend</w:t>
      </w:r>
      <w:r>
        <w:rPr>
          <w:color w:val="000000"/>
          <w:szCs w:val="22"/>
        </w:rPr>
        <w:t>ras vizualus naudojamos įrangos, prietaisų, kitų darbo priemonių būklės įvertinimas, kurio apimtis priklauso nuo naudojamo šaltinio aktyvumo bei fizikinių ir cheminių savybių;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23.3</w:t>
      </w:r>
      <w:r>
        <w:rPr>
          <w:color w:val="000000"/>
          <w:szCs w:val="22"/>
        </w:rPr>
        <w:t>. asmeninės apsauginės priemonės turi būti naudojamos nustatyta tvarka [</w:t>
      </w:r>
      <w:r>
        <w:rPr>
          <w:color w:val="000000"/>
          <w:szCs w:val="22"/>
        </w:rPr>
        <w:t>3.12];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23.4</w:t>
      </w:r>
      <w:r>
        <w:rPr>
          <w:color w:val="000000"/>
          <w:szCs w:val="22"/>
        </w:rPr>
        <w:t>. darbuotojas vienu metu gali dirbti tik su vienos rūšies šaltiniu;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23.5</w:t>
      </w:r>
      <w:r>
        <w:rPr>
          <w:color w:val="000000"/>
          <w:szCs w:val="22"/>
        </w:rPr>
        <w:t>. įrankiai ir priemonės, kuriais dirbama su šaltiniais, turi būti prižiūrimi ir laikomi atskirai nuo kitų įrankių ir priemonių;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23.6</w:t>
      </w:r>
      <w:r>
        <w:rPr>
          <w:color w:val="000000"/>
          <w:szCs w:val="22"/>
        </w:rPr>
        <w:t xml:space="preserve">. draudžiama valgyti, gerti, </w:t>
      </w:r>
      <w:r>
        <w:rPr>
          <w:color w:val="000000"/>
          <w:szCs w:val="22"/>
        </w:rPr>
        <w:t>rūkyti, naudoti kosmetines priemones;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23.7</w:t>
      </w:r>
      <w:r>
        <w:rPr>
          <w:color w:val="000000"/>
          <w:szCs w:val="22"/>
        </w:rPr>
        <w:t>. indai, kuriuose laikomi šaltiniai, turi būti sandarūs (nesuskilę, nesurūdiję), o ant jų paviršiaus turi būti užklijuotas standarte LST ISO 361 nustatytas ženklas ir užrašyta papildoma informacija apie radionu</w:t>
      </w:r>
      <w:r>
        <w:rPr>
          <w:color w:val="000000"/>
          <w:szCs w:val="22"/>
        </w:rPr>
        <w:t>klidą, jo aktyvumą, pusėjimo trukmę ir preparato pavadinimą;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23.8</w:t>
      </w:r>
      <w:r>
        <w:rPr>
          <w:color w:val="000000"/>
          <w:szCs w:val="22"/>
        </w:rPr>
        <w:t>. visos šaltinių paruošimo (fasavimo) operacijos turi būti atliekamos traukos spintose, boksuose arba specialiuosiuose įrenginiuose, kurie turi būti ekranuoti ir pažymėti standarte LST IS</w:t>
      </w:r>
      <w:r>
        <w:rPr>
          <w:color w:val="000000"/>
          <w:szCs w:val="22"/>
        </w:rPr>
        <w:t>O 361 nustatytais ženklais;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23.9</w:t>
      </w:r>
      <w:r>
        <w:rPr>
          <w:color w:val="000000"/>
          <w:szCs w:val="22"/>
        </w:rPr>
        <w:t xml:space="preserve">. visos operacijos, susijusios su šaltinių darbinių tirpalų paruošimu, atliekamos ant padėklų, kiuvečių, pagamintų iš nesugeriamųjų medžiagų ir pažymėtų standarte LST ISO 361 </w:t>
      </w:r>
      <w:r>
        <w:rPr>
          <w:color w:val="000000"/>
          <w:szCs w:val="22"/>
        </w:rPr>
        <w:lastRenderedPageBreak/>
        <w:t>nustatytais ženklais. Šių padėklų ir kiuvečių</w:t>
      </w:r>
      <w:r>
        <w:rPr>
          <w:color w:val="000000"/>
          <w:szCs w:val="22"/>
        </w:rPr>
        <w:t xml:space="preserve"> tūris turi būti mažiausiai 2 kartus didesnis už ruošiamų šaltinių tirpalų tūrį;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23.10</w:t>
      </w:r>
      <w:r>
        <w:rPr>
          <w:color w:val="000000"/>
          <w:szCs w:val="22"/>
        </w:rPr>
        <w:t>. jei reikia, turi būti naudojami distanciniai įrenginiai ir ekranuoti švirkštai;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23.11</w:t>
      </w:r>
      <w:r>
        <w:rPr>
          <w:color w:val="000000"/>
          <w:szCs w:val="22"/>
        </w:rPr>
        <w:t xml:space="preserve">. darbus su lakiaisiais ir dulkančiais šaltiniais būtina dirbti traukos </w:t>
      </w:r>
      <w:r>
        <w:rPr>
          <w:color w:val="000000"/>
          <w:szCs w:val="22"/>
        </w:rPr>
        <w:t>spintose arba apsauginiuose boksuose;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23.12</w:t>
      </w:r>
      <w:r>
        <w:rPr>
          <w:color w:val="000000"/>
          <w:szCs w:val="22"/>
        </w:rPr>
        <w:t>. darbo stalų paviršiai papildomai turi būti padengti medžiaga, neleidžiančia plisti teršalams;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23.13</w:t>
      </w:r>
      <w:r>
        <w:rPr>
          <w:color w:val="000000"/>
          <w:szCs w:val="22"/>
        </w:rPr>
        <w:t>. radioaktyviosios taršos šalinimo priemonės ir įrankiai visada turi būti parengti naudojimui;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23.14</w:t>
      </w:r>
      <w:r>
        <w:rPr>
          <w:color w:val="000000"/>
          <w:szCs w:val="22"/>
        </w:rPr>
        <w:t>. technologinio proceso metu, kur įmanoma, šaltiniai turi būti gabenami vežimėliais;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23.15</w:t>
      </w:r>
      <w:r>
        <w:rPr>
          <w:color w:val="000000"/>
          <w:szCs w:val="22"/>
        </w:rPr>
        <w:t>. šaldytuvai, kuriuose laikomi šaltiniai, turi būti su ekranuojančiomis pertvaromis kiekvienam šaltiniui, pažymėti standarte LST ISO 361 nustatytais ženklais. Paš</w:t>
      </w:r>
      <w:r>
        <w:rPr>
          <w:color w:val="000000"/>
          <w:szCs w:val="22"/>
        </w:rPr>
        <w:t>alinius daiktus laikyti juose draudžiama;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23.16</w:t>
      </w:r>
      <w:r>
        <w:rPr>
          <w:color w:val="000000"/>
          <w:szCs w:val="22"/>
        </w:rPr>
        <w:t>. patalpų, kuriose dirbama su šaltiniais, ir įrangos paviršiai turi būti pagaminti arba padengti nesugeriamosiomis ir nedegiomis medžiagomis;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23.17</w:t>
      </w:r>
      <w:r>
        <w:rPr>
          <w:color w:val="000000"/>
          <w:szCs w:val="22"/>
        </w:rPr>
        <w:t>. patalpų, kuriose dirbama su šaltiniais, valymo ir de</w:t>
      </w:r>
      <w:r>
        <w:rPr>
          <w:color w:val="000000"/>
          <w:szCs w:val="22"/>
        </w:rPr>
        <w:t>zaktyvacijos priemonės turi būti pažymėtos standarte LST ISO 361 nustatytais ženklais. Šias priemones naudoti už kontroliuojamosios zonos ribų draudžiama;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23.18</w:t>
      </w:r>
      <w:r>
        <w:rPr>
          <w:color w:val="000000"/>
          <w:szCs w:val="22"/>
        </w:rPr>
        <w:t>. radioaktyviosios atliekos (užteršti švirkštai, kepuraitės, kaukės, pirštinės, chalatai, la</w:t>
      </w:r>
      <w:r>
        <w:rPr>
          <w:color w:val="000000"/>
          <w:szCs w:val="22"/>
        </w:rPr>
        <w:t>boratoriniai indai, duženos ir kt.) turi būti sudedamos į radioaktyviųjų atliekų surinkimo konteinerius, kurie turi būti pažymėti standarte LST ISO 361 nustatytais ženklais.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KONTROLIUOJAMOJI IR STEBĖJIMO ZONOS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24</w:t>
      </w:r>
      <w:r>
        <w:rPr>
          <w:color w:val="000000"/>
          <w:szCs w:val="22"/>
        </w:rPr>
        <w:t>. Profesinei apšvitai dar</w:t>
      </w:r>
      <w:r>
        <w:rPr>
          <w:color w:val="000000"/>
          <w:szCs w:val="22"/>
        </w:rPr>
        <w:t>bo vietose mažinti turi būti nustatytos ir pažymėtos kontroliuojamoji ir stebimoji zonos. Šios zonos valdomos nustatyta tvarka [3.4].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25</w:t>
      </w:r>
      <w:r>
        <w:rPr>
          <w:color w:val="000000"/>
          <w:szCs w:val="22"/>
        </w:rPr>
        <w:t>. Licencijos turėtojas, atsižvelgęs į naudojamų šaltinių aktyvumus, kontroliuojamosios zonos statusą privalo suteikt</w:t>
      </w:r>
      <w:r>
        <w:rPr>
          <w:color w:val="000000"/>
          <w:szCs w:val="22"/>
        </w:rPr>
        <w:t>i tai darbų atlikimo vietai, kurioje reikia naudoti radiacinės saugos priemones, kad būtų kontroliuojama darbuotojų apšvita arba apribojami jos mastai, taikant šias priemones: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25.1</w:t>
      </w:r>
      <w:r>
        <w:rPr>
          <w:color w:val="000000"/>
          <w:szCs w:val="22"/>
        </w:rPr>
        <w:t xml:space="preserve">. patekimo į kontroliuojamą zoną ribojimą. Ribojimui turi būti naudojamos </w:t>
      </w:r>
      <w:r>
        <w:rPr>
          <w:color w:val="000000"/>
          <w:szCs w:val="22"/>
        </w:rPr>
        <w:t>fizinės saugos administracinės ir techninės priemonės;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25.2</w:t>
      </w:r>
      <w:r>
        <w:rPr>
          <w:color w:val="000000"/>
          <w:szCs w:val="22"/>
        </w:rPr>
        <w:t>. kontroliuojamosios zonos ribų stebėjimą;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25.3</w:t>
      </w:r>
      <w:r>
        <w:rPr>
          <w:color w:val="000000"/>
          <w:szCs w:val="22"/>
        </w:rPr>
        <w:t>. perspėjimo ženklų naudojimą;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25.4</w:t>
      </w:r>
      <w:r>
        <w:rPr>
          <w:color w:val="000000"/>
          <w:szCs w:val="22"/>
        </w:rPr>
        <w:t>. aiškias procedūras.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26</w:t>
      </w:r>
      <w:r>
        <w:rPr>
          <w:color w:val="000000"/>
          <w:szCs w:val="22"/>
        </w:rPr>
        <w:t>. Šaltinių naudojimo vietos, šaltinių ir radioaktyviųjų atliekų saugyklos</w:t>
      </w:r>
      <w:r>
        <w:rPr>
          <w:color w:val="000000"/>
          <w:szCs w:val="22"/>
        </w:rPr>
        <w:t xml:space="preserve"> privalo būti priskirtos kontroliuojamajai zonai.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27</w:t>
      </w:r>
      <w:r>
        <w:rPr>
          <w:color w:val="000000"/>
          <w:szCs w:val="22"/>
        </w:rPr>
        <w:t>. Kontroliuojamąją zoną būtina pažymėti standarte LST ISO 361 nustatytu jonizuojančiosios spinduliuotės ženklu. Ženklinamo objekto pavojingumui pabrėžti turi būti papildomi užrašai lietuvių kalba (pvz</w:t>
      </w:r>
      <w:r>
        <w:rPr>
          <w:color w:val="000000"/>
          <w:szCs w:val="22"/>
        </w:rPr>
        <w:t>.: „Atsargiai! Jonizuojančioji spinduliuotė“, „Dėmesio! Pavojinga zona“, „Eiti draudžiama“, „Radioaktyviosios atliekos“, „Radioaktyviųjų medžiagų saugykla“ ir kt.) ir asmens, atsakingo už radiacinę saugą, vardas ir pavardė bei telefono numeris.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28</w:t>
      </w:r>
      <w:r>
        <w:rPr>
          <w:color w:val="000000"/>
          <w:szCs w:val="22"/>
        </w:rPr>
        <w:t>. Pri</w:t>
      </w:r>
      <w:r>
        <w:rPr>
          <w:color w:val="000000"/>
          <w:szCs w:val="22"/>
        </w:rPr>
        <w:t>e įėjimo į kontroliuojamąją zoną ir išėjimo iš jos turi būti: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28.1</w:t>
      </w:r>
      <w:r>
        <w:rPr>
          <w:color w:val="000000"/>
          <w:szCs w:val="22"/>
        </w:rPr>
        <w:t>. darbuotojų odos ir aprangos taršos matavimo įranga;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28.2</w:t>
      </w:r>
      <w:r>
        <w:rPr>
          <w:color w:val="000000"/>
          <w:szCs w:val="22"/>
        </w:rPr>
        <w:t>. iš zonos išnešamų, išvežamų daiktų ar medžiagų taršos matavimo įranga.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29</w:t>
      </w:r>
      <w:r>
        <w:rPr>
          <w:color w:val="000000"/>
          <w:szCs w:val="22"/>
        </w:rPr>
        <w:t>. Pasikeitus atliekamų darbų turiniui ar sąly</w:t>
      </w:r>
      <w:r>
        <w:rPr>
          <w:color w:val="000000"/>
          <w:szCs w:val="22"/>
        </w:rPr>
        <w:t>goms, licencijos turėtojas privalo patikslinti kontroliuojamosios zonos ribas bei jos valdymo reikalavimus ir prireikus pakeisti radiacinės saugos bei šaltinių fizinės saugos priemones.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30</w:t>
      </w:r>
      <w:r>
        <w:rPr>
          <w:color w:val="000000"/>
          <w:szCs w:val="22"/>
        </w:rPr>
        <w:t>. Stebimoji zona turi būti valdoma nustatyta tvarka [3.4].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VIII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GYVENTOJŲ RADIACINĖ SAUGA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31</w:t>
      </w:r>
      <w:r>
        <w:rPr>
          <w:color w:val="000000"/>
          <w:szCs w:val="22"/>
        </w:rPr>
        <w:t>. Licencijos turėtojas privalo garantuoti, kad gyventojų radiacinė sauga, vykdant veiklą su šaltiniais, būtų užtikrinta vadovaujantis nustatytais reikalavimais [3.4].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32</w:t>
      </w:r>
      <w:r>
        <w:rPr>
          <w:color w:val="000000"/>
          <w:szCs w:val="22"/>
        </w:rPr>
        <w:t xml:space="preserve">. Licencijos turėtojas turi užtikrinti </w:t>
      </w:r>
      <w:r>
        <w:rPr>
          <w:color w:val="000000"/>
          <w:szCs w:val="22"/>
        </w:rPr>
        <w:t>lankytojų kontrolę kontroliuojamoje zonoje: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32.1</w:t>
      </w:r>
      <w:r>
        <w:rPr>
          <w:color w:val="000000"/>
          <w:szCs w:val="22"/>
        </w:rPr>
        <w:t>. kontroliuojamoje zonoje besilankančius gyventojus turi lydėti su radiacinės saugos reikalavimais susipažinęs asmuo;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32.2</w:t>
      </w:r>
      <w:r>
        <w:rPr>
          <w:color w:val="000000"/>
          <w:szCs w:val="22"/>
        </w:rPr>
        <w:t>. prieš patekdami į kontroliuojamąją zoną lankytojai turi būti instruktuojami;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32.3</w:t>
      </w:r>
      <w:r>
        <w:rPr>
          <w:color w:val="000000"/>
          <w:szCs w:val="22"/>
        </w:rPr>
        <w:t>. kontroliuojamoje zonoje turi būti atliekamas lankytojų individualiosios apšvitos monitoringas.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33</w:t>
      </w:r>
      <w:r>
        <w:rPr>
          <w:color w:val="000000"/>
          <w:szCs w:val="22"/>
        </w:rPr>
        <w:t>. Stebėjimo zonoje besilankančių gyventojų buvimas turi būti kontroliuojamas.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IX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ŠALTINIŲ FIZINĖS SAUGOS UŽTIKRINIMAS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34</w:t>
      </w:r>
      <w:r>
        <w:rPr>
          <w:color w:val="000000"/>
          <w:szCs w:val="22"/>
        </w:rPr>
        <w:t>. Licencijų</w:t>
      </w:r>
      <w:r>
        <w:rPr>
          <w:color w:val="000000"/>
          <w:szCs w:val="22"/>
        </w:rPr>
        <w:t xml:space="preserve"> turėtojai už šaltinių fizinę saugą atsako nustatyta tvarka [3.1, 3.2, 3.4]. Jie privalo naudoti administracines ir technines fizinės saugos priemones teisės aktų nustatyta tvarka.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35</w:t>
      </w:r>
      <w:r>
        <w:rPr>
          <w:color w:val="000000"/>
          <w:szCs w:val="22"/>
        </w:rPr>
        <w:t>. Draudžiama šaltinius perduoti fiziniams ir juridiniams asmenims, Li</w:t>
      </w:r>
      <w:r>
        <w:rPr>
          <w:color w:val="000000"/>
          <w:szCs w:val="22"/>
        </w:rPr>
        <w:t>etuvos Respublikoje įsteigtiems Europos Ekonominės Erdvės valstybių įmonių filialams, neturintiems Radiacinės saugos centro išduotos licencijos.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36</w:t>
      </w:r>
      <w:r>
        <w:rPr>
          <w:color w:val="000000"/>
          <w:szCs w:val="22"/>
        </w:rPr>
        <w:t>. Licencijos turėtojas privalo vykdyti šaltinių apskaitą pagal šios higienos normos 1 priede pateiktą for</w:t>
      </w:r>
      <w:r>
        <w:rPr>
          <w:color w:val="000000"/>
          <w:szCs w:val="22"/>
        </w:rPr>
        <w:t>mą, šaltinių inventorizacijos duomenis nustatyta tvarka pateikti Valstybės jonizuojančiosios spinduliuotės šaltinių ir darbuotojų apšvitos registrui [3.8].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37</w:t>
      </w:r>
      <w:r>
        <w:rPr>
          <w:color w:val="000000"/>
          <w:szCs w:val="22"/>
        </w:rPr>
        <w:t>. Licencijos turėtojas nedelsdamas turi informuoti Radiacinės saugos centrą apie šaltinio ding</w:t>
      </w:r>
      <w:r>
        <w:rPr>
          <w:color w:val="000000"/>
          <w:szCs w:val="22"/>
        </w:rPr>
        <w:t>imą, vagystę ar pametimą.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X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KOKYBĖS KONTROLĖ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38</w:t>
      </w:r>
      <w:r>
        <w:rPr>
          <w:color w:val="000000"/>
          <w:szCs w:val="22"/>
        </w:rPr>
        <w:t>. Licencijos turėtojas turi parengti ir vykdyti kokybės laidavimo programą, kurios sudėtine dalimi yra kokybės kontrolė.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39</w:t>
      </w:r>
      <w:r>
        <w:rPr>
          <w:color w:val="000000"/>
          <w:szCs w:val="22"/>
        </w:rPr>
        <w:t>. Kokybės kontrolės tikslas yra užtikrinti tinkamą šaltinių bei naudo</w:t>
      </w:r>
      <w:r>
        <w:rPr>
          <w:color w:val="000000"/>
          <w:szCs w:val="22"/>
        </w:rPr>
        <w:t>jamos įrangos ir prietaisų darbą ir laiku nustatyti bei pašalinti atsiradusius gedimus.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XI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PATALPOS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40</w:t>
      </w:r>
      <w:r>
        <w:rPr>
          <w:color w:val="000000"/>
          <w:szCs w:val="22"/>
        </w:rPr>
        <w:t>. Laboratorijų patalpų, kuriose ketinama vykdyti arba vykdoma veikla su šaltiniais, projektų radiacinės saugos ekspertizė turi būti atliekama</w:t>
      </w:r>
      <w:r>
        <w:rPr>
          <w:color w:val="000000"/>
          <w:szCs w:val="22"/>
        </w:rPr>
        <w:t xml:space="preserve"> nustatyta tvarka [3.10]. Projekto ir atliktos projekto radiacinės saugos ekspertizės išvadų kopijos turi būti pateiktos Radiacinės saugos centrui.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41</w:t>
      </w:r>
      <w:r>
        <w:rPr>
          <w:color w:val="000000"/>
          <w:szCs w:val="22"/>
        </w:rPr>
        <w:t xml:space="preserve">. Laboratorijų patalpų apšvietimas, patalpų vėdinimas, oro kondicionavimas, išmetamo oro valymas turi </w:t>
      </w:r>
      <w:r>
        <w:rPr>
          <w:color w:val="000000"/>
          <w:szCs w:val="22"/>
        </w:rPr>
        <w:t>atitikti teisės aktų reikalavimus.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42</w:t>
      </w:r>
      <w:r>
        <w:rPr>
          <w:color w:val="000000"/>
          <w:szCs w:val="22"/>
        </w:rPr>
        <w:t>. Laboratorijų, kuriose naudojami šaltiniai, patalpų radiacinės saugos reikalavimai nustatomi, atsižvelgus į naudojamų šaltinių radiotoksiškumą ir aktyvumą.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43</w:t>
      </w:r>
      <w:r>
        <w:rPr>
          <w:color w:val="000000"/>
          <w:szCs w:val="22"/>
        </w:rPr>
        <w:t>. Radionuklidų skirstymas į klases pagal radiotoksiš</w:t>
      </w:r>
      <w:r>
        <w:rPr>
          <w:color w:val="000000"/>
          <w:szCs w:val="22"/>
        </w:rPr>
        <w:t>kumą pateiktas šios higienos normos 2 priede, laboratorijų skirstymas į tipus pagal naudojamų radionuklidų radiotoksiškumą ir vienu metu laboratorijoje turimą radionuklidų aktyvumą pateiktas šios higienos normos 3 priede.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44</w:t>
      </w:r>
      <w:r>
        <w:rPr>
          <w:color w:val="000000"/>
          <w:szCs w:val="22"/>
        </w:rPr>
        <w:t>. C tipo laboratorijų (pvz.,</w:t>
      </w:r>
      <w:r>
        <w:rPr>
          <w:color w:val="000000"/>
          <w:szCs w:val="22"/>
        </w:rPr>
        <w:t xml:space="preserve"> biologijos laboratorijų, kuriose atliekami genetiniai tyrimai, ir kt.) patalpoms keliami bendrieji chemijos, biologijos laboratorijų reikalavimai: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44.1</w:t>
      </w:r>
      <w:r>
        <w:rPr>
          <w:color w:val="000000"/>
          <w:szCs w:val="22"/>
        </w:rPr>
        <w:t>. grindys ir darbo paviršiai turi būti atsparūs cheminiam poveikiui, be plyšių;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44.2</w:t>
      </w:r>
      <w:r>
        <w:rPr>
          <w:color w:val="000000"/>
          <w:szCs w:val="22"/>
        </w:rPr>
        <w:t xml:space="preserve">. patalpų </w:t>
      </w:r>
      <w:r>
        <w:rPr>
          <w:color w:val="000000"/>
          <w:szCs w:val="22"/>
        </w:rPr>
        <w:t>sienų, lubų ir darbo stalų paviršiai turi būti padengti lengvai valomomis, dulkių nekaupiančiomis medžiagomis;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44.3</w:t>
      </w:r>
      <w:r>
        <w:rPr>
          <w:color w:val="000000"/>
          <w:szCs w:val="22"/>
        </w:rPr>
        <w:t>. turi būti numatytos kietų ir skystų atliekų rinkimo vietos ir talpyklos;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44.4</w:t>
      </w:r>
      <w:r>
        <w:rPr>
          <w:color w:val="000000"/>
          <w:szCs w:val="22"/>
        </w:rPr>
        <w:t xml:space="preserve">. bent viena plautuvė ir vandens fontanėlis neturi </w:t>
      </w:r>
      <w:r>
        <w:rPr>
          <w:color w:val="000000"/>
          <w:szCs w:val="22"/>
        </w:rPr>
        <w:t>būti valdomi rankomis.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</w:t>
      </w:r>
      <w:r>
        <w:rPr>
          <w:color w:val="000000"/>
          <w:szCs w:val="22"/>
        </w:rPr>
        <w:t>. B tipo laboratorijų patalpos turi atitikti šiuos reikalavimus: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45.1</w:t>
      </w:r>
      <w:r>
        <w:rPr>
          <w:color w:val="000000"/>
          <w:szCs w:val="22"/>
        </w:rPr>
        <w:t>. prie įėjimo į patalpas turi būti prieangis, kuriame įrengtas dušas bei asmeninių apsauginių priemonių laikymo ir persirengimo patalpa;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45.2</w:t>
      </w:r>
      <w:r>
        <w:rPr>
          <w:color w:val="000000"/>
          <w:szCs w:val="22"/>
        </w:rPr>
        <w:t xml:space="preserve">. grindų </w:t>
      </w:r>
      <w:r>
        <w:rPr>
          <w:color w:val="000000"/>
          <w:szCs w:val="22"/>
        </w:rPr>
        <w:t>danga turi uždengti sienas ne žemiau kaip 10 cm nuo grindų paviršiaus;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45.3</w:t>
      </w:r>
      <w:r>
        <w:rPr>
          <w:color w:val="000000"/>
          <w:szCs w:val="22"/>
        </w:rPr>
        <w:t>. komunikacijų vamzdžiai turi būti padengti izoliuojančia, lengvai dezaktyvuojama medžiaga;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45.4</w:t>
      </w:r>
      <w:r>
        <w:rPr>
          <w:color w:val="000000"/>
          <w:szCs w:val="22"/>
        </w:rPr>
        <w:t>. bent vienos plautuvės čiaupas ir vandens fontanėlis neturi būti valdomi ran</w:t>
      </w:r>
      <w:r>
        <w:rPr>
          <w:color w:val="000000"/>
          <w:szCs w:val="22"/>
        </w:rPr>
        <w:t>komis, nuotekos turi būti surenkamos į atskirą kanalizacijos sistemą;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45.5</w:t>
      </w:r>
      <w:r>
        <w:rPr>
          <w:color w:val="000000"/>
          <w:szCs w:val="22"/>
        </w:rPr>
        <w:t>. patalpos langai turi būti visą laiką uždaryti, jie gali būti atidaromi tik specialiu raktu;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45.6</w:t>
      </w:r>
      <w:r>
        <w:rPr>
          <w:color w:val="000000"/>
          <w:szCs w:val="22"/>
        </w:rPr>
        <w:t>. patalpoje turi būti įrengta vėdinimo sistema. Darbo vietose turi būti pala</w:t>
      </w:r>
      <w:r>
        <w:rPr>
          <w:color w:val="000000"/>
          <w:szCs w:val="22"/>
        </w:rPr>
        <w:t>ikomas sumažintas oro slėgis;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45.7</w:t>
      </w:r>
      <w:r>
        <w:rPr>
          <w:color w:val="000000"/>
          <w:szCs w:val="22"/>
        </w:rPr>
        <w:t>. patalpoje turi būti užtektinai traukos spintų ir apsauginių darbo boksų, juose turi būti įrengta atskira ištraukiamoji vėdinimo sistema, išmetamas oras turi būti valomas filtrais;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45.8</w:t>
      </w:r>
      <w:r>
        <w:rPr>
          <w:color w:val="000000"/>
          <w:szCs w:val="22"/>
        </w:rPr>
        <w:t>. oro valymo filtrai turi bū</w:t>
      </w:r>
      <w:r>
        <w:rPr>
          <w:color w:val="000000"/>
          <w:szCs w:val="22"/>
        </w:rPr>
        <w:t>ti įrengiami prie traukos spintų ir apsauginių boksų, kad būtų galima kontroliuoti radioaktyviųjų medžiagų kaupimąsi juose ir išvengti galimos aplinkos taršos;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45.9</w:t>
      </w:r>
      <w:r>
        <w:rPr>
          <w:color w:val="000000"/>
          <w:szCs w:val="22"/>
        </w:rPr>
        <w:t>. traukos spintos ir apsauginiai boksai turi turėti oro slėgio indikatorius;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45.10</w:t>
      </w:r>
      <w:r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bendroji laboratorijos vėdinimo sistema turi būti atskirta nuo viso pastato vėdinimo sistemos.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46</w:t>
      </w:r>
      <w:r>
        <w:rPr>
          <w:color w:val="000000"/>
          <w:szCs w:val="22"/>
        </w:rPr>
        <w:t>. A tipo laboratorijų, kuriose naudojami didelio aktyvumo šaltiniai, patalpų reikalavimus kiekvienu konkrečiu atveju nustato Radiacinės saugos centras. N</w:t>
      </w:r>
      <w:r>
        <w:rPr>
          <w:color w:val="000000"/>
          <w:szCs w:val="22"/>
        </w:rPr>
        <w:t>ustatant reikalavimus yra vertinamas naudojamų šaltinių radiotoksiškumas, aktyvumas bei sunaudojamų radionuklidų kiekis ir atliekamų darbų pobūdis.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47</w:t>
      </w:r>
      <w:r>
        <w:rPr>
          <w:color w:val="000000"/>
          <w:szCs w:val="22"/>
        </w:rPr>
        <w:t>. Patalpų kontroliuojamoji ir stebimoji zonos turi būti pažymėtos standarte LST ISO 361 nustatytu ženk</w:t>
      </w:r>
      <w:r>
        <w:rPr>
          <w:color w:val="000000"/>
          <w:szCs w:val="22"/>
        </w:rPr>
        <w:t>lu. Ženklinamo objekto pavojingumui pabrėžti turi būti papildomi užrašai lietuvių kalba (pvz.: „Atsargiai! Jonizuojančioji spinduliuotė“, „Eiti draudžiama“ ir kt.) ir asmens, atsakingo už radiacinę saugą, vardas ir pavardė bei telefono numeris.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48</w:t>
      </w:r>
      <w:r>
        <w:rPr>
          <w:color w:val="000000"/>
          <w:szCs w:val="22"/>
        </w:rPr>
        <w:t>. Kai</w:t>
      </w:r>
      <w:r>
        <w:rPr>
          <w:color w:val="000000"/>
          <w:szCs w:val="22"/>
        </w:rPr>
        <w:t xml:space="preserve"> patalpoje darbai nevykdomi, ji taip pat turi būti apsaugota nuo neteisėto asmenų patekimo.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XII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ATLIEKŲ TVARKYMAS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49</w:t>
      </w:r>
      <w:r>
        <w:rPr>
          <w:color w:val="000000"/>
          <w:szCs w:val="22"/>
        </w:rPr>
        <w:t xml:space="preserve">. Radioaktyviųjų atliekų saugyklos turi būti įrengiamos ir radioaktyviosios atliekos, susidariusios naudojant šaltinius, turi </w:t>
      </w:r>
      <w:r>
        <w:rPr>
          <w:color w:val="000000"/>
          <w:szCs w:val="22"/>
        </w:rPr>
        <w:t>būti tvarkomos laikantis nustatytų reikalavimų [3.2, 3.6, 3.9].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50</w:t>
      </w:r>
      <w:r>
        <w:rPr>
          <w:color w:val="000000"/>
          <w:szCs w:val="22"/>
        </w:rPr>
        <w:t>. Ilgaamžiais radionuklidais užterštos atliekos turi būti saugomos radioaktyviųjų atliekų saugykloje ir tvarkomos nustatyta tvarka [3.2, 3.6].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51</w:t>
      </w:r>
      <w:r>
        <w:rPr>
          <w:color w:val="000000"/>
          <w:szCs w:val="22"/>
        </w:rPr>
        <w:t>. Trumpaamžiais radionuklidais užterš</w:t>
      </w:r>
      <w:r>
        <w:rPr>
          <w:color w:val="000000"/>
          <w:szCs w:val="22"/>
        </w:rPr>
        <w:t>tos atliekos turi būti tvarkomos nustatyta tvarka [3.6, 3.9].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XIII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APSAUGA NUO AVARINĖS APŠVITOS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52</w:t>
      </w:r>
      <w:r>
        <w:rPr>
          <w:color w:val="000000"/>
          <w:szCs w:val="22"/>
        </w:rPr>
        <w:t>. Radiologine avarija naudojant šaltinius laikoma: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52.1</w:t>
      </w:r>
      <w:r>
        <w:rPr>
          <w:color w:val="000000"/>
          <w:szCs w:val="22"/>
        </w:rPr>
        <w:t>. išpakuojant naują siuntą ar dirbant su šaltiniais pažeistos šaltinio pakuotės (sudauž</w:t>
      </w:r>
      <w:r>
        <w:rPr>
          <w:color w:val="000000"/>
          <w:szCs w:val="22"/>
        </w:rPr>
        <w:t>ytos taros) ir išsipylusio šaltinio sukelta grindų, darbo paviršių, darbuotojų aprangos ir odos radioaktyvioji tarša;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52.2</w:t>
      </w:r>
      <w:r>
        <w:rPr>
          <w:color w:val="000000"/>
          <w:szCs w:val="22"/>
        </w:rPr>
        <w:t>. dėl kitų priežasčių išsipylusio šaltinio sukelta grindų, darbo paviršių, darbuotojų drabužių ir odos radioaktyvioji tarša;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52.3</w:t>
      </w:r>
      <w:r>
        <w:rPr>
          <w:color w:val="000000"/>
          <w:szCs w:val="22"/>
        </w:rPr>
        <w:t>. šaltinio vagystė.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53</w:t>
      </w:r>
      <w:r>
        <w:rPr>
          <w:color w:val="000000"/>
          <w:szCs w:val="22"/>
        </w:rPr>
        <w:t>. Priemonės ir veiksmai, kurių bus imamasi užtikrinant darbuotojų ir gyventojų radiacinę saugą įvykus avarijai, turi būti numatyti licencijos turėtojo parengtame ir patvirtintame Radiologinių avarijų prevencijos ir likvida</w:t>
      </w:r>
      <w:r>
        <w:rPr>
          <w:color w:val="000000"/>
          <w:szCs w:val="22"/>
        </w:rPr>
        <w:t>vimo plane. Jis turi būti peržiūrimas ir atnaujinamas.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</w:t>
      </w:r>
      <w:r>
        <w:rPr>
          <w:color w:val="000000"/>
          <w:szCs w:val="22"/>
        </w:rPr>
        <w:t>. Radiologinių avarijų prevencijos ir likvidavimo plane turi būti nurodyta: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54.1</w:t>
      </w:r>
      <w:r>
        <w:rPr>
          <w:color w:val="000000"/>
          <w:szCs w:val="22"/>
        </w:rPr>
        <w:t>. galimos avarijos ir skubūs veiksmai, leidžiantys apriboti jonizuojančiosios spinduliuotės intensyvumą ar taršos</w:t>
      </w:r>
      <w:r>
        <w:rPr>
          <w:color w:val="000000"/>
          <w:szCs w:val="22"/>
        </w:rPr>
        <w:t xml:space="preserve"> plitimą;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54.2</w:t>
      </w:r>
      <w:r>
        <w:rPr>
          <w:color w:val="000000"/>
          <w:szCs w:val="22"/>
        </w:rPr>
        <w:t>. konkretūs kiekvieno darbuotojo veiksmai, siekiant išvengti avarijos ir likviduojant jos padarinius;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54.3</w:t>
      </w:r>
      <w:r>
        <w:rPr>
          <w:color w:val="000000"/>
          <w:szCs w:val="22"/>
        </w:rPr>
        <w:t>. informavimo apie avariją tvarka ir asmuo, atsakingas už informavimą;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54.4</w:t>
      </w:r>
      <w:r>
        <w:rPr>
          <w:color w:val="000000"/>
          <w:szCs w:val="22"/>
        </w:rPr>
        <w:t>. darbuotojų mokymų ir pakartotinio įgūdžių stipr</w:t>
      </w:r>
      <w:r>
        <w:rPr>
          <w:color w:val="000000"/>
          <w:szCs w:val="22"/>
        </w:rPr>
        <w:t>inimo tvarka;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54.5</w:t>
      </w:r>
      <w:r>
        <w:rPr>
          <w:color w:val="000000"/>
          <w:szCs w:val="22"/>
        </w:rPr>
        <w:t>. priemonės, neleidžiančios asmenims, nedalyvaujantiems likviduojant avarijos pasekmes, patekti į avarijos vietą;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54.6</w:t>
      </w:r>
      <w:r>
        <w:rPr>
          <w:color w:val="000000"/>
          <w:szCs w:val="22"/>
        </w:rPr>
        <w:t>. avarijos padarinių likvidavimo įranga ir priemonės, avarijos likvidatorių asmeninės apsaugos priemonės.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55</w:t>
      </w:r>
      <w:r>
        <w:rPr>
          <w:color w:val="000000"/>
          <w:szCs w:val="22"/>
        </w:rPr>
        <w:t>. Licencijos turėtojas privalo užtikrinti, kad darbuotojai būtų aprūpinti avarijos likvidavimo ir apsaugos priemonėmis bei periodiškai būtų tobulinamos jų žinios ir įgūdžiai.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56</w:t>
      </w:r>
      <w:r>
        <w:rPr>
          <w:color w:val="000000"/>
          <w:szCs w:val="22"/>
        </w:rPr>
        <w:t>. Avarijos padarinius šalinančio darbuotojo apšvita negali būti didesnė k</w:t>
      </w:r>
      <w:r>
        <w:rPr>
          <w:color w:val="000000"/>
          <w:szCs w:val="22"/>
        </w:rPr>
        <w:t>aip nustatyta [3.4].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57</w:t>
      </w:r>
      <w:r>
        <w:rPr>
          <w:color w:val="000000"/>
          <w:szCs w:val="22"/>
        </w:rPr>
        <w:t>. Avarijai įvykus, darbuotojai neturi nedelsiant jos likviduoti, jeigu tai sukeltų padidintą jų apšvitą ar taršą, bet elgtis pagal Radiologinių avarijų prevencijos ir likvidavimo planą.</w:t>
      </w:r>
    </w:p>
    <w:p w:rsidR="00B37960" w:rsidRDefault="00B538BD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XIV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DOKUMENTAI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</w:t>
      </w:r>
      <w:r>
        <w:rPr>
          <w:color w:val="000000"/>
          <w:szCs w:val="22"/>
        </w:rPr>
        <w:t xml:space="preserve">. Licencijos </w:t>
      </w:r>
      <w:r>
        <w:rPr>
          <w:color w:val="000000"/>
          <w:szCs w:val="22"/>
        </w:rPr>
        <w:t>turėtojas turi turėti šiuos dokumentus: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</w:t>
      </w:r>
      <w:r>
        <w:rPr>
          <w:color w:val="000000"/>
          <w:szCs w:val="22"/>
        </w:rPr>
        <w:t>. licenciją;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58.2</w:t>
      </w:r>
      <w:r>
        <w:rPr>
          <w:color w:val="000000"/>
          <w:szCs w:val="22"/>
        </w:rPr>
        <w:t>. licencijos turėtojo įsakymą dėl asmens, atsakingo už radiacinę saugą, paskyrimo;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58.3</w:t>
      </w:r>
      <w:r>
        <w:rPr>
          <w:color w:val="000000"/>
          <w:szCs w:val="22"/>
        </w:rPr>
        <w:t>. radiacinės saugos sistemos aprašymą ir audito protokolus;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58.4</w:t>
      </w:r>
      <w:r>
        <w:rPr>
          <w:color w:val="000000"/>
          <w:szCs w:val="22"/>
        </w:rPr>
        <w:t xml:space="preserve">. licencijos turėtojo įsakymu </w:t>
      </w:r>
      <w:r>
        <w:rPr>
          <w:color w:val="000000"/>
          <w:szCs w:val="22"/>
        </w:rPr>
        <w:t>paskirtų darbuotojų sąrašą ir jų kvalifikacinį pasirengimą profesiniais ir radiacinės saugos klausimais patvirtinančius dokumentus;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58.5</w:t>
      </w:r>
      <w:r>
        <w:rPr>
          <w:color w:val="000000"/>
          <w:szCs w:val="22"/>
        </w:rPr>
        <w:t>. asmens, atsakingo už radiacinę saugą, arba saugos tarnybos nuostatus;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58.6</w:t>
      </w:r>
      <w:r>
        <w:rPr>
          <w:color w:val="000000"/>
          <w:szCs w:val="22"/>
        </w:rPr>
        <w:t>. darbuotojų radiacinės saugos instr</w:t>
      </w:r>
      <w:r>
        <w:rPr>
          <w:color w:val="000000"/>
          <w:szCs w:val="22"/>
        </w:rPr>
        <w:t>ukcijas;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58.7</w:t>
      </w:r>
      <w:r>
        <w:rPr>
          <w:color w:val="000000"/>
          <w:szCs w:val="22"/>
        </w:rPr>
        <w:t>. Radiologinių avarijų prevencijos ir likvidavimo planą;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58.8</w:t>
      </w:r>
      <w:r>
        <w:rPr>
          <w:color w:val="000000"/>
          <w:szCs w:val="22"/>
        </w:rPr>
        <w:t>. patalpų projektinius techninius dokumentus;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58.9</w:t>
      </w:r>
      <w:r>
        <w:rPr>
          <w:color w:val="000000"/>
          <w:szCs w:val="22"/>
        </w:rPr>
        <w:t>. turimų šaltinių sąrašą (šaltinių sertifikatus, pasus);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58.10</w:t>
      </w:r>
      <w:r>
        <w:rPr>
          <w:color w:val="000000"/>
          <w:szCs w:val="22"/>
        </w:rPr>
        <w:t>. procedūrų aprašymus;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58.11</w:t>
      </w:r>
      <w:r>
        <w:rPr>
          <w:color w:val="000000"/>
          <w:szCs w:val="22"/>
        </w:rPr>
        <w:t>. kokybės laidavimo si</w:t>
      </w:r>
      <w:r>
        <w:rPr>
          <w:color w:val="000000"/>
          <w:szCs w:val="22"/>
        </w:rPr>
        <w:t>stemos aprašymą (kokybės vadovą);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58.12</w:t>
      </w:r>
      <w:r>
        <w:rPr>
          <w:color w:val="000000"/>
          <w:szCs w:val="22"/>
        </w:rPr>
        <w:t>. darbuotojų individualiosios apšvitos, paviršių radioaktyviosios taršos ir darbo vietų stebėsenos matavimų protokolus;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58.13</w:t>
      </w:r>
      <w:r>
        <w:rPr>
          <w:color w:val="000000"/>
          <w:szCs w:val="22"/>
        </w:rPr>
        <w:t>. darbo vietų stebėsenos prietaisų techninius dokumentus ir jų metrologinės patikros</w:t>
      </w:r>
      <w:r>
        <w:rPr>
          <w:color w:val="000000"/>
          <w:szCs w:val="22"/>
        </w:rPr>
        <w:t xml:space="preserve"> pažymėjimus;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58.14</w:t>
      </w:r>
      <w:r>
        <w:rPr>
          <w:color w:val="000000"/>
          <w:szCs w:val="22"/>
        </w:rPr>
        <w:t>. darbuotojų sveikatos tikrinimo dokumentus;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58.15</w:t>
      </w:r>
      <w:r>
        <w:rPr>
          <w:color w:val="000000"/>
          <w:szCs w:val="22"/>
        </w:rPr>
        <w:t>. šaltinių apskaitos žurnalą;</w:t>
      </w: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58.16</w:t>
      </w:r>
      <w:r>
        <w:rPr>
          <w:color w:val="000000"/>
          <w:szCs w:val="22"/>
        </w:rPr>
        <w:t>. valstybės institucijos, vykdančios valstybinę radiacinės saugos priežiūrą ir kontrolę, tikrinimo dokumentus.</w:t>
      </w:r>
    </w:p>
    <w:p w:rsidR="00B37960" w:rsidRDefault="00B538BD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bookmarkStart w:id="0" w:name="_GoBack" w:displacedByCustomXml="prev"/>
    <w:p w:rsidR="00B538BD" w:rsidRDefault="00B538BD">
      <w:pPr>
        <w:ind w:firstLine="5102"/>
        <w:sectPr w:rsidR="00B538BD" w:rsidSect="00B538BD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37960" w:rsidRDefault="00B538BD">
      <w:pPr>
        <w:ind w:firstLine="5102"/>
      </w:pPr>
      <w:r>
        <w:lastRenderedPageBreak/>
        <w:t>Liet</w:t>
      </w:r>
      <w:r>
        <w:t>uvos higienos normos HN 88:2005</w:t>
      </w:r>
    </w:p>
    <w:p w:rsidR="00B37960" w:rsidRDefault="00B538BD">
      <w:pPr>
        <w:ind w:firstLine="5102"/>
      </w:pPr>
      <w:r>
        <w:t xml:space="preserve">„Nemedicininės paskirties atvirųjų </w:t>
      </w:r>
    </w:p>
    <w:p w:rsidR="00B37960" w:rsidRDefault="00B538BD">
      <w:pPr>
        <w:ind w:firstLine="5102"/>
      </w:pPr>
      <w:r>
        <w:t xml:space="preserve">jonizuojančiosios spinduliuotės šaltinių </w:t>
      </w:r>
    </w:p>
    <w:p w:rsidR="00B37960" w:rsidRDefault="00B538BD">
      <w:pPr>
        <w:ind w:firstLine="5102"/>
      </w:pPr>
      <w:r>
        <w:t xml:space="preserve">radiacinė sauga“ </w:t>
      </w:r>
    </w:p>
    <w:p w:rsidR="00B37960" w:rsidRDefault="00B538BD">
      <w:pPr>
        <w:ind w:firstLine="5102"/>
      </w:pPr>
      <w:r>
        <w:t>1</w:t>
      </w:r>
      <w:r>
        <w:t xml:space="preserve"> priedas </w:t>
      </w:r>
    </w:p>
    <w:p w:rsidR="00B37960" w:rsidRDefault="00B37960"/>
    <w:p w:rsidR="00B37960" w:rsidRDefault="00B538BD">
      <w:pPr>
        <w:jc w:val="center"/>
      </w:pPr>
      <w:r>
        <w:t>(Šaltinių apskaitos žurnalo forma)</w:t>
      </w:r>
    </w:p>
    <w:p w:rsidR="00B37960" w:rsidRDefault="00B37960">
      <w:pPr>
        <w:jc w:val="center"/>
      </w:pPr>
    </w:p>
    <w:p w:rsidR="00B37960" w:rsidRDefault="00B538BD">
      <w:pPr>
        <w:jc w:val="center"/>
      </w:pPr>
      <w:r>
        <w:t>_________________________________________</w:t>
      </w:r>
    </w:p>
    <w:p w:rsidR="00B37960" w:rsidRDefault="00B538BD">
      <w:pPr>
        <w:jc w:val="center"/>
        <w:rPr>
          <w:sz w:val="20"/>
        </w:rPr>
      </w:pPr>
      <w:r>
        <w:rPr>
          <w:sz w:val="20"/>
        </w:rPr>
        <w:t>(licencijos turėtojo pavadinimas)</w:t>
      </w:r>
    </w:p>
    <w:p w:rsidR="00B37960" w:rsidRDefault="00B37960">
      <w:pPr>
        <w:jc w:val="center"/>
      </w:pPr>
    </w:p>
    <w:p w:rsidR="00B37960" w:rsidRDefault="00B538BD">
      <w:pPr>
        <w:jc w:val="center"/>
        <w:rPr>
          <w:b/>
        </w:rPr>
      </w:pPr>
      <w:r>
        <w:rPr>
          <w:b/>
        </w:rPr>
        <w:t>Š</w:t>
      </w:r>
      <w:r>
        <w:rPr>
          <w:b/>
        </w:rPr>
        <w:t>ALTINIŲ APSKAITOS ŽURNALAS</w:t>
      </w:r>
    </w:p>
    <w:p w:rsidR="00B37960" w:rsidRDefault="00B37960"/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737"/>
        <w:gridCol w:w="630"/>
        <w:gridCol w:w="844"/>
        <w:gridCol w:w="630"/>
        <w:gridCol w:w="524"/>
        <w:gridCol w:w="704"/>
        <w:gridCol w:w="822"/>
        <w:gridCol w:w="701"/>
        <w:gridCol w:w="741"/>
        <w:gridCol w:w="563"/>
        <w:gridCol w:w="794"/>
        <w:gridCol w:w="628"/>
        <w:gridCol w:w="626"/>
      </w:tblGrid>
      <w:tr w:rsidR="00B37960">
        <w:tc>
          <w:tcPr>
            <w:tcW w:w="5148" w:type="dxa"/>
            <w:gridSpan w:val="5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Šalinis</w:t>
            </w:r>
          </w:p>
        </w:tc>
        <w:tc>
          <w:tcPr>
            <w:tcW w:w="2966" w:type="dxa"/>
            <w:gridSpan w:val="3"/>
            <w:tcBorders>
              <w:bottom w:val="nil"/>
            </w:tcBorders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Šaltinio naudojimas</w:t>
            </w:r>
          </w:p>
        </w:tc>
        <w:tc>
          <w:tcPr>
            <w:tcW w:w="2104" w:type="dxa"/>
            <w:gridSpan w:val="2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Darbuotojas, naudojantis šaltinį</w:t>
            </w:r>
          </w:p>
        </w:tc>
        <w:tc>
          <w:tcPr>
            <w:tcW w:w="1962" w:type="dxa"/>
            <w:gridSpan w:val="2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Šaltinio likučio nurašymas</w:t>
            </w:r>
          </w:p>
        </w:tc>
        <w:tc>
          <w:tcPr>
            <w:tcW w:w="1788" w:type="dxa"/>
            <w:gridSpan w:val="2"/>
            <w:tcBorders>
              <w:right w:val="single" w:sz="6" w:space="0" w:color="auto"/>
            </w:tcBorders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Asmuo, atsakingas už šaltinių apskaitą</w:t>
            </w:r>
          </w:p>
        </w:tc>
      </w:tr>
      <w:tr w:rsidR="00B37960">
        <w:trPr>
          <w:cantSplit/>
          <w:trHeight w:val="2076"/>
        </w:trPr>
        <w:tc>
          <w:tcPr>
            <w:tcW w:w="1008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Preparatas</w:t>
            </w:r>
          </w:p>
        </w:tc>
        <w:tc>
          <w:tcPr>
            <w:tcW w:w="1080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Radionuklidas</w:t>
            </w:r>
          </w:p>
        </w:tc>
        <w:tc>
          <w:tcPr>
            <w:tcW w:w="900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Paso Nr.</w:t>
            </w:r>
          </w:p>
        </w:tc>
        <w:tc>
          <w:tcPr>
            <w:tcW w:w="1260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Aktyvumas (Bq) arba kiekis (kg) pagaminimo datai</w:t>
            </w:r>
          </w:p>
        </w:tc>
        <w:tc>
          <w:tcPr>
            <w:tcW w:w="900" w:type="dxa"/>
            <w:tcBorders>
              <w:top w:val="single" w:sz="6" w:space="0" w:color="auto"/>
            </w:tcBorders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Gavimo data</w:t>
            </w:r>
          </w:p>
        </w:tc>
        <w:tc>
          <w:tcPr>
            <w:tcW w:w="720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023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Tikslas</w:t>
            </w:r>
          </w:p>
        </w:tc>
        <w:tc>
          <w:tcPr>
            <w:tcW w:w="1223" w:type="dxa"/>
            <w:textDirection w:val="btL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Sunaudotas aktyvumas (Bq) arba kiekis (kg)</w:t>
            </w:r>
          </w:p>
        </w:tc>
        <w:tc>
          <w:tcPr>
            <w:tcW w:w="1018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Pareigos, vardas, pavardė</w:t>
            </w:r>
          </w:p>
        </w:tc>
        <w:tc>
          <w:tcPr>
            <w:tcW w:w="1086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Parašas</w:t>
            </w:r>
          </w:p>
        </w:tc>
        <w:tc>
          <w:tcPr>
            <w:tcW w:w="787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175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Dokumento Nr.</w:t>
            </w:r>
          </w:p>
        </w:tc>
        <w:tc>
          <w:tcPr>
            <w:tcW w:w="896" w:type="dxa"/>
            <w:textDirection w:val="btL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Pareigos, vardas,</w:t>
            </w:r>
          </w:p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pavardė</w:t>
            </w:r>
          </w:p>
        </w:tc>
        <w:tc>
          <w:tcPr>
            <w:tcW w:w="892" w:type="dxa"/>
            <w:textDirection w:val="btLr"/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Parašas</w:t>
            </w:r>
          </w:p>
        </w:tc>
      </w:tr>
      <w:tr w:rsidR="00B37960">
        <w:tc>
          <w:tcPr>
            <w:tcW w:w="1008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3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5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6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2" w:type="dxa"/>
            <w:tcBorders>
              <w:bottom w:val="nil"/>
            </w:tcBorders>
            <w:vAlign w:val="center"/>
          </w:tcPr>
          <w:p w:rsidR="00B37960" w:rsidRDefault="00B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379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0" w:rsidRDefault="00B37960">
            <w:pPr>
              <w:rPr>
                <w:sz w:val="20"/>
              </w:rPr>
            </w:pPr>
          </w:p>
        </w:tc>
      </w:tr>
    </w:tbl>
    <w:p w:rsidR="00B37960" w:rsidRDefault="00B538BD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bookmarkEnd w:id="0" w:displacedByCustomXml="next"/>
    <w:p w:rsidR="00B538BD" w:rsidRDefault="00B538BD">
      <w:pPr>
        <w:ind w:firstLine="5102"/>
        <w:sectPr w:rsidR="00B538BD" w:rsidSect="00B538BD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lastRenderedPageBreak/>
        <w:t>Lietuvos higienos normos HN 88:2005</w:t>
      </w:r>
    </w:p>
    <w:p w:rsidR="00B37960" w:rsidRDefault="00B538BD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 xml:space="preserve">„Nemedicininės paskirties atvirųjų </w:t>
      </w:r>
    </w:p>
    <w:p w:rsidR="00B37960" w:rsidRDefault="00B538BD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 xml:space="preserve">jonizuojančiosios spinduliuotės šaltinių 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>radiacinė sauga“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 priedas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RADIONUKLIDŲ RADIOTOKSIŠKUMO KLASĖS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 klasės (labai didelio radiotoksiškumo) radionuklidai</w:t>
      </w:r>
    </w:p>
    <w:p w:rsidR="00B37960" w:rsidRDefault="00B37960">
      <w:pPr>
        <w:ind w:firstLine="709"/>
        <w:jc w:val="both"/>
        <w:rPr>
          <w:color w:val="000000"/>
        </w:rPr>
      </w:pPr>
    </w:p>
    <w:tbl>
      <w:tblPr>
        <w:tblW w:w="8409" w:type="dxa"/>
        <w:tblInd w:w="1230" w:type="dxa"/>
        <w:tblLook w:val="01E0" w:firstRow="1" w:lastRow="1" w:firstColumn="1" w:lastColumn="1" w:noHBand="0" w:noVBand="0"/>
      </w:tblPr>
      <w:tblGrid>
        <w:gridCol w:w="1178"/>
        <w:gridCol w:w="1253"/>
        <w:gridCol w:w="1309"/>
        <w:gridCol w:w="4669"/>
      </w:tblGrid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210</w:t>
            </w:r>
            <w:r>
              <w:rPr>
                <w:color w:val="000000"/>
                <w:szCs w:val="22"/>
              </w:rPr>
              <w:t>Pb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227</w:t>
            </w:r>
            <w:r>
              <w:rPr>
                <w:color w:val="000000"/>
                <w:szCs w:val="22"/>
              </w:rPr>
              <w:t>Th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233</w:t>
            </w:r>
            <w:r>
              <w:rPr>
                <w:color w:val="000000"/>
                <w:szCs w:val="22"/>
              </w:rPr>
              <w:t>U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243</w:t>
            </w:r>
            <w:r>
              <w:rPr>
                <w:color w:val="000000"/>
                <w:szCs w:val="22"/>
              </w:rPr>
              <w:t>Cm</w:t>
            </w:r>
          </w:p>
        </w:tc>
      </w:tr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208</w:t>
            </w:r>
            <w:r>
              <w:rPr>
                <w:color w:val="000000"/>
                <w:szCs w:val="22"/>
              </w:rPr>
              <w:t>Po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228</w:t>
            </w:r>
            <w:r>
              <w:rPr>
                <w:color w:val="000000"/>
                <w:szCs w:val="22"/>
              </w:rPr>
              <w:t>Th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234</w:t>
            </w:r>
            <w:r>
              <w:rPr>
                <w:color w:val="000000"/>
                <w:szCs w:val="22"/>
              </w:rPr>
              <w:t>U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244</w:t>
            </w:r>
            <w:r>
              <w:rPr>
                <w:color w:val="000000"/>
                <w:szCs w:val="22"/>
              </w:rPr>
              <w:t>Cm</w:t>
            </w:r>
          </w:p>
        </w:tc>
      </w:tr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210</w:t>
            </w:r>
            <w:r>
              <w:rPr>
                <w:color w:val="000000"/>
                <w:szCs w:val="22"/>
              </w:rPr>
              <w:t>Po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230</w:t>
            </w:r>
            <w:r>
              <w:rPr>
                <w:color w:val="000000"/>
                <w:szCs w:val="22"/>
              </w:rPr>
              <w:t>Th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237</w:t>
            </w:r>
            <w:r>
              <w:rPr>
                <w:color w:val="000000"/>
                <w:szCs w:val="22"/>
              </w:rPr>
              <w:t>Np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252</w:t>
            </w:r>
            <w:r>
              <w:rPr>
                <w:color w:val="000000"/>
                <w:szCs w:val="22"/>
              </w:rPr>
              <w:t>Cf</w:t>
            </w:r>
          </w:p>
        </w:tc>
      </w:tr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226</w:t>
            </w:r>
            <w:r>
              <w:rPr>
                <w:color w:val="000000"/>
                <w:szCs w:val="22"/>
              </w:rPr>
              <w:t>Ra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231</w:t>
            </w:r>
            <w:r>
              <w:rPr>
                <w:color w:val="000000"/>
                <w:szCs w:val="22"/>
              </w:rPr>
              <w:t>Pa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241</w:t>
            </w:r>
            <w:r>
              <w:rPr>
                <w:color w:val="000000"/>
                <w:szCs w:val="22"/>
              </w:rPr>
              <w:t>Am</w:t>
            </w:r>
          </w:p>
        </w:tc>
        <w:tc>
          <w:tcPr>
            <w:tcW w:w="4669" w:type="dxa"/>
          </w:tcPr>
          <w:p w:rsidR="00B37960" w:rsidRDefault="00B37960">
            <w:pPr>
              <w:jc w:val="both"/>
              <w:rPr>
                <w:color w:val="000000"/>
              </w:rPr>
            </w:pPr>
          </w:p>
        </w:tc>
      </w:tr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228</w:t>
            </w:r>
            <w:r>
              <w:rPr>
                <w:color w:val="000000"/>
                <w:szCs w:val="22"/>
              </w:rPr>
              <w:t>Ra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230</w:t>
            </w:r>
            <w:r>
              <w:rPr>
                <w:color w:val="000000"/>
                <w:szCs w:val="22"/>
              </w:rPr>
              <w:t>U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243</w:t>
            </w:r>
            <w:r>
              <w:rPr>
                <w:color w:val="000000"/>
                <w:szCs w:val="22"/>
              </w:rPr>
              <w:t>Am</w:t>
            </w:r>
          </w:p>
        </w:tc>
        <w:tc>
          <w:tcPr>
            <w:tcW w:w="4669" w:type="dxa"/>
          </w:tcPr>
          <w:p w:rsidR="00B37960" w:rsidRDefault="00B37960">
            <w:pPr>
              <w:jc w:val="both"/>
              <w:rPr>
                <w:color w:val="000000"/>
              </w:rPr>
            </w:pPr>
          </w:p>
        </w:tc>
      </w:tr>
      <w:tr w:rsidR="00B37960">
        <w:tc>
          <w:tcPr>
            <w:tcW w:w="1178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227</w:t>
            </w:r>
            <w:r>
              <w:rPr>
                <w:color w:val="000000"/>
                <w:szCs w:val="22"/>
              </w:rPr>
              <w:t>Ac</w:t>
            </w:r>
          </w:p>
        </w:tc>
        <w:tc>
          <w:tcPr>
            <w:tcW w:w="1253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232</w:t>
            </w:r>
            <w:r>
              <w:rPr>
                <w:color w:val="000000"/>
                <w:szCs w:val="22"/>
              </w:rPr>
              <w:t>U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242</w:t>
            </w:r>
            <w:r>
              <w:rPr>
                <w:color w:val="000000"/>
                <w:szCs w:val="22"/>
              </w:rPr>
              <w:t>Cm</w:t>
            </w:r>
          </w:p>
        </w:tc>
        <w:tc>
          <w:tcPr>
            <w:tcW w:w="4669" w:type="dxa"/>
          </w:tcPr>
          <w:p w:rsidR="00B37960" w:rsidRDefault="00B37960">
            <w:pPr>
              <w:jc w:val="both"/>
              <w:rPr>
                <w:color w:val="000000"/>
              </w:rPr>
            </w:pPr>
          </w:p>
        </w:tc>
      </w:tr>
    </w:tbl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 klasės (didelio radiotoksiškumo) radionuklidai</w:t>
      </w:r>
    </w:p>
    <w:p w:rsidR="00B37960" w:rsidRDefault="00B37960">
      <w:pPr>
        <w:ind w:firstLine="709"/>
        <w:jc w:val="both"/>
        <w:rPr>
          <w:color w:val="000000"/>
        </w:rPr>
      </w:pPr>
    </w:p>
    <w:tbl>
      <w:tblPr>
        <w:tblW w:w="8409" w:type="dxa"/>
        <w:tblInd w:w="1230" w:type="dxa"/>
        <w:tblLook w:val="01E0" w:firstRow="1" w:lastRow="1" w:firstColumn="1" w:lastColumn="1" w:noHBand="0" w:noVBand="0"/>
      </w:tblPr>
      <w:tblGrid>
        <w:gridCol w:w="1177"/>
        <w:gridCol w:w="1254"/>
        <w:gridCol w:w="1309"/>
        <w:gridCol w:w="4669"/>
      </w:tblGrid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22</w:t>
            </w:r>
            <w:r>
              <w:rPr>
                <w:color w:val="000000"/>
                <w:szCs w:val="22"/>
              </w:rPr>
              <w:t>Na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95</w:t>
            </w:r>
            <w:r>
              <w:rPr>
                <w:color w:val="000000"/>
                <w:szCs w:val="22"/>
              </w:rPr>
              <w:t>Zr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133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204</w:t>
            </w:r>
            <w:r>
              <w:rPr>
                <w:color w:val="000000"/>
                <w:szCs w:val="22"/>
              </w:rPr>
              <w:t>Tl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36</w:t>
            </w:r>
            <w:r>
              <w:rPr>
                <w:color w:val="000000"/>
                <w:szCs w:val="22"/>
              </w:rPr>
              <w:t>Cl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106+</w:t>
            </w:r>
            <w:r>
              <w:rPr>
                <w:color w:val="000000"/>
                <w:szCs w:val="22"/>
              </w:rPr>
              <w:t>Ru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134</w:t>
            </w:r>
            <w:r>
              <w:rPr>
                <w:color w:val="000000"/>
                <w:szCs w:val="22"/>
              </w:rPr>
              <w:t>Cs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212+</w:t>
            </w:r>
            <w:r>
              <w:rPr>
                <w:color w:val="000000"/>
                <w:szCs w:val="22"/>
              </w:rPr>
              <w:t>Pb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45</w:t>
            </w:r>
            <w:r>
              <w:rPr>
                <w:color w:val="000000"/>
                <w:szCs w:val="22"/>
              </w:rPr>
              <w:t>Ca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110m</w:t>
            </w:r>
            <w:r>
              <w:rPr>
                <w:color w:val="000000"/>
                <w:szCs w:val="22"/>
              </w:rPr>
              <w:t>Ag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137+</w:t>
            </w:r>
            <w:r>
              <w:rPr>
                <w:color w:val="000000"/>
                <w:szCs w:val="22"/>
              </w:rPr>
              <w:t>Cs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207</w:t>
            </w:r>
            <w:r>
              <w:rPr>
                <w:color w:val="000000"/>
                <w:szCs w:val="22"/>
              </w:rPr>
              <w:t>Bi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46</w:t>
            </w:r>
            <w:r>
              <w:rPr>
                <w:color w:val="000000"/>
                <w:szCs w:val="22"/>
              </w:rPr>
              <w:t>Sc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115m</w:t>
            </w:r>
            <w:r>
              <w:rPr>
                <w:color w:val="000000"/>
                <w:szCs w:val="22"/>
              </w:rPr>
              <w:t>Cd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140+</w:t>
            </w:r>
            <w:r>
              <w:rPr>
                <w:color w:val="000000"/>
                <w:szCs w:val="22"/>
              </w:rPr>
              <w:t>Ba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210</w:t>
            </w:r>
            <w:r>
              <w:rPr>
                <w:color w:val="000000"/>
                <w:szCs w:val="22"/>
              </w:rPr>
              <w:t>Bi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54</w:t>
            </w:r>
            <w:r>
              <w:rPr>
                <w:color w:val="000000"/>
                <w:szCs w:val="22"/>
              </w:rPr>
              <w:t>Mn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114m</w:t>
            </w:r>
            <w:r>
              <w:rPr>
                <w:color w:val="000000"/>
                <w:szCs w:val="22"/>
              </w:rPr>
              <w:t>In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144+</w:t>
            </w:r>
            <w:r>
              <w:rPr>
                <w:color w:val="000000"/>
                <w:szCs w:val="22"/>
              </w:rPr>
              <w:t>Ce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210</w:t>
            </w:r>
            <w:r>
              <w:rPr>
                <w:color w:val="000000"/>
                <w:szCs w:val="22"/>
              </w:rPr>
              <w:t>At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56</w:t>
            </w:r>
            <w:r>
              <w:rPr>
                <w:color w:val="000000"/>
                <w:szCs w:val="22"/>
              </w:rPr>
              <w:t>Co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124</w:t>
            </w:r>
            <w:r>
              <w:rPr>
                <w:color w:val="000000"/>
                <w:szCs w:val="22"/>
              </w:rPr>
              <w:t>Sb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152</w:t>
            </w:r>
            <w:r>
              <w:rPr>
                <w:color w:val="000000"/>
                <w:szCs w:val="22"/>
              </w:rPr>
              <w:t>Eu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211</w:t>
            </w:r>
            <w:r>
              <w:rPr>
                <w:color w:val="000000"/>
                <w:szCs w:val="22"/>
              </w:rPr>
              <w:t>At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60</w:t>
            </w:r>
            <w:r>
              <w:rPr>
                <w:color w:val="000000"/>
                <w:szCs w:val="22"/>
              </w:rPr>
              <w:t>Co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125</w:t>
            </w:r>
            <w:r>
              <w:rPr>
                <w:color w:val="000000"/>
                <w:szCs w:val="22"/>
              </w:rPr>
              <w:t>Sb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154</w:t>
            </w:r>
            <w:r>
              <w:rPr>
                <w:color w:val="000000"/>
                <w:szCs w:val="22"/>
              </w:rPr>
              <w:t>Eu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224+</w:t>
            </w:r>
            <w:r>
              <w:rPr>
                <w:color w:val="000000"/>
                <w:szCs w:val="22"/>
              </w:rPr>
              <w:t>Ra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68</w:t>
            </w:r>
            <w:r>
              <w:rPr>
                <w:color w:val="000000"/>
                <w:szCs w:val="22"/>
              </w:rPr>
              <w:t>Ge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124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160</w:t>
            </w:r>
            <w:r>
              <w:rPr>
                <w:color w:val="000000"/>
                <w:szCs w:val="22"/>
              </w:rPr>
              <w:t>Tb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228</w:t>
            </w:r>
            <w:r>
              <w:rPr>
                <w:color w:val="000000"/>
                <w:szCs w:val="22"/>
              </w:rPr>
              <w:t>Ac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89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125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170</w:t>
            </w:r>
            <w:r>
              <w:rPr>
                <w:color w:val="000000"/>
                <w:szCs w:val="22"/>
              </w:rPr>
              <w:t>Tm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234+</w:t>
            </w:r>
            <w:r>
              <w:rPr>
                <w:color w:val="000000"/>
                <w:szCs w:val="22"/>
              </w:rPr>
              <w:t>Th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90+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126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182</w:t>
            </w:r>
            <w:r>
              <w:rPr>
                <w:color w:val="000000"/>
                <w:szCs w:val="22"/>
              </w:rPr>
              <w:t>Ta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230</w:t>
            </w:r>
            <w:r>
              <w:rPr>
                <w:color w:val="000000"/>
                <w:szCs w:val="22"/>
              </w:rPr>
              <w:t>Pa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91</w:t>
            </w:r>
            <w:r>
              <w:rPr>
                <w:color w:val="000000"/>
                <w:szCs w:val="22"/>
              </w:rPr>
              <w:t>Y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131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192</w:t>
            </w:r>
            <w:r>
              <w:rPr>
                <w:color w:val="000000"/>
                <w:szCs w:val="22"/>
              </w:rPr>
              <w:t>Ir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236</w:t>
            </w:r>
            <w:r>
              <w:rPr>
                <w:color w:val="000000"/>
                <w:szCs w:val="22"/>
              </w:rPr>
              <w:t>U</w:t>
            </w:r>
          </w:p>
        </w:tc>
      </w:tr>
    </w:tbl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 klasės (vidutinio radiotoksiškumo) radionuklidai</w:t>
      </w:r>
    </w:p>
    <w:p w:rsidR="00B37960" w:rsidRDefault="00B37960">
      <w:pPr>
        <w:ind w:firstLine="709"/>
        <w:jc w:val="both"/>
        <w:rPr>
          <w:color w:val="000000"/>
        </w:rPr>
      </w:pPr>
    </w:p>
    <w:tbl>
      <w:tblPr>
        <w:tblW w:w="8409" w:type="dxa"/>
        <w:tblInd w:w="1230" w:type="dxa"/>
        <w:tblLook w:val="01E0" w:firstRow="1" w:lastRow="1" w:firstColumn="1" w:lastColumn="1" w:noHBand="0" w:noVBand="0"/>
      </w:tblPr>
      <w:tblGrid>
        <w:gridCol w:w="1177"/>
        <w:gridCol w:w="1254"/>
        <w:gridCol w:w="1309"/>
        <w:gridCol w:w="4669"/>
      </w:tblGrid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</w:t>
            </w:r>
            <w:r>
              <w:rPr>
                <w:color w:val="000000"/>
                <w:szCs w:val="22"/>
              </w:rPr>
              <w:t>Be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67</w:t>
            </w:r>
            <w:r>
              <w:rPr>
                <w:color w:val="000000"/>
                <w:szCs w:val="22"/>
              </w:rPr>
              <w:t>Ga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109</w:t>
            </w:r>
            <w:r>
              <w:rPr>
                <w:color w:val="000000"/>
                <w:szCs w:val="22"/>
              </w:rPr>
              <w:t>Cd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169</w:t>
            </w:r>
            <w:r>
              <w:rPr>
                <w:color w:val="000000"/>
                <w:szCs w:val="22"/>
              </w:rPr>
              <w:t>Er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  <w:vertAlign w:val="superscript"/>
              </w:rPr>
            </w:pPr>
            <w:r>
              <w:rPr>
                <w:color w:val="000000"/>
                <w:szCs w:val="22"/>
                <w:vertAlign w:val="superscript"/>
              </w:rPr>
              <w:t>14</w:t>
            </w:r>
            <w:r>
              <w:rPr>
                <w:color w:val="000000"/>
                <w:szCs w:val="22"/>
              </w:rPr>
              <w:t>C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72</w:t>
            </w:r>
            <w:r>
              <w:rPr>
                <w:color w:val="000000"/>
                <w:szCs w:val="22"/>
              </w:rPr>
              <w:t>Ga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115</w:t>
            </w:r>
            <w:r>
              <w:rPr>
                <w:color w:val="000000"/>
                <w:szCs w:val="22"/>
              </w:rPr>
              <w:t>Cd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171</w:t>
            </w:r>
            <w:r>
              <w:rPr>
                <w:color w:val="000000"/>
                <w:szCs w:val="22"/>
              </w:rPr>
              <w:t>Tm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18</w:t>
            </w: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74</w:t>
            </w:r>
            <w:r>
              <w:rPr>
                <w:color w:val="000000"/>
                <w:szCs w:val="22"/>
              </w:rPr>
              <w:t>As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111</w:t>
            </w:r>
            <w:r>
              <w:rPr>
                <w:color w:val="000000"/>
                <w:szCs w:val="22"/>
              </w:rPr>
              <w:t>In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175</w:t>
            </w:r>
            <w:r>
              <w:rPr>
                <w:color w:val="000000"/>
                <w:szCs w:val="22"/>
              </w:rPr>
              <w:t>Yb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24</w:t>
            </w:r>
            <w:r>
              <w:rPr>
                <w:color w:val="000000"/>
                <w:szCs w:val="22"/>
              </w:rPr>
              <w:t>Na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76</w:t>
            </w:r>
            <w:r>
              <w:rPr>
                <w:color w:val="000000"/>
                <w:szCs w:val="22"/>
              </w:rPr>
              <w:t>As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115m</w:t>
            </w:r>
            <w:r>
              <w:rPr>
                <w:color w:val="000000"/>
                <w:szCs w:val="22"/>
              </w:rPr>
              <w:t>In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177</w:t>
            </w:r>
            <w:r>
              <w:rPr>
                <w:color w:val="000000"/>
                <w:szCs w:val="22"/>
              </w:rPr>
              <w:t>Lu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32</w:t>
            </w: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75</w:t>
            </w:r>
            <w:r>
              <w:rPr>
                <w:color w:val="000000"/>
                <w:szCs w:val="22"/>
              </w:rPr>
              <w:t>Se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113</w:t>
            </w:r>
            <w:r>
              <w:rPr>
                <w:color w:val="000000"/>
                <w:szCs w:val="22"/>
              </w:rPr>
              <w:t>Sn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181</w:t>
            </w:r>
            <w:r>
              <w:rPr>
                <w:color w:val="000000"/>
                <w:szCs w:val="22"/>
              </w:rPr>
              <w:t>W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33</w:t>
            </w: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82</w:t>
            </w:r>
            <w:r>
              <w:rPr>
                <w:color w:val="000000"/>
                <w:szCs w:val="22"/>
              </w:rPr>
              <w:t>Br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125</w:t>
            </w:r>
            <w:r>
              <w:rPr>
                <w:color w:val="000000"/>
                <w:szCs w:val="22"/>
              </w:rPr>
              <w:t>Sn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185</w:t>
            </w:r>
            <w:r>
              <w:rPr>
                <w:color w:val="000000"/>
                <w:szCs w:val="22"/>
              </w:rPr>
              <w:t>W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35</w:t>
            </w:r>
            <w:r>
              <w:rPr>
                <w:color w:val="000000"/>
                <w:szCs w:val="22"/>
              </w:rPr>
              <w:t>S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85</w:t>
            </w:r>
            <w:r>
              <w:rPr>
                <w:color w:val="000000"/>
                <w:szCs w:val="22"/>
              </w:rPr>
              <w:t>Kr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125m</w:t>
            </w:r>
            <w:r>
              <w:rPr>
                <w:color w:val="000000"/>
                <w:szCs w:val="22"/>
              </w:rPr>
              <w:t>Te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187</w:t>
            </w:r>
            <w:r>
              <w:rPr>
                <w:color w:val="000000"/>
                <w:szCs w:val="22"/>
              </w:rPr>
              <w:t>W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38</w:t>
            </w:r>
            <w:r>
              <w:rPr>
                <w:color w:val="000000"/>
                <w:szCs w:val="22"/>
              </w:rPr>
              <w:t>Cl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87</w:t>
            </w:r>
            <w:r>
              <w:rPr>
                <w:color w:val="000000"/>
                <w:szCs w:val="22"/>
              </w:rPr>
              <w:t>Kr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127</w:t>
            </w:r>
            <w:r>
              <w:rPr>
                <w:color w:val="000000"/>
                <w:szCs w:val="22"/>
              </w:rPr>
              <w:t>Te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185</w:t>
            </w:r>
            <w:r>
              <w:rPr>
                <w:color w:val="000000"/>
                <w:szCs w:val="22"/>
              </w:rPr>
              <w:t>Os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41</w:t>
            </w:r>
            <w:r>
              <w:rPr>
                <w:color w:val="000000"/>
                <w:szCs w:val="22"/>
              </w:rPr>
              <w:t>Ar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81</w:t>
            </w:r>
            <w:r>
              <w:rPr>
                <w:color w:val="000000"/>
                <w:szCs w:val="22"/>
              </w:rPr>
              <w:t>Rb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129</w:t>
            </w:r>
            <w:r>
              <w:rPr>
                <w:color w:val="000000"/>
                <w:szCs w:val="22"/>
              </w:rPr>
              <w:t>Te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198</w:t>
            </w:r>
            <w:r>
              <w:rPr>
                <w:color w:val="000000"/>
                <w:szCs w:val="22"/>
              </w:rPr>
              <w:t>Au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42</w:t>
            </w:r>
            <w:r>
              <w:rPr>
                <w:color w:val="000000"/>
                <w:szCs w:val="22"/>
              </w:rPr>
              <w:t>K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86</w:t>
            </w:r>
            <w:r>
              <w:rPr>
                <w:color w:val="000000"/>
                <w:szCs w:val="22"/>
              </w:rPr>
              <w:t>Rb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131m</w:t>
            </w:r>
            <w:r>
              <w:rPr>
                <w:color w:val="000000"/>
                <w:szCs w:val="22"/>
              </w:rPr>
              <w:t>Te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199</w:t>
            </w:r>
            <w:r>
              <w:rPr>
                <w:color w:val="000000"/>
                <w:szCs w:val="22"/>
              </w:rPr>
              <w:t>Au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43</w:t>
            </w:r>
            <w:r>
              <w:rPr>
                <w:color w:val="000000"/>
                <w:szCs w:val="22"/>
              </w:rPr>
              <w:t>K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85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132</w:t>
            </w:r>
            <w:r>
              <w:rPr>
                <w:color w:val="000000"/>
                <w:szCs w:val="22"/>
              </w:rPr>
              <w:t>Te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197</w:t>
            </w:r>
            <w:r>
              <w:rPr>
                <w:color w:val="000000"/>
                <w:szCs w:val="22"/>
              </w:rPr>
              <w:t>Hg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47</w:t>
            </w:r>
            <w:r>
              <w:rPr>
                <w:color w:val="000000"/>
                <w:szCs w:val="22"/>
              </w:rPr>
              <w:t>Ca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91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123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197m</w:t>
            </w:r>
            <w:r>
              <w:rPr>
                <w:color w:val="000000"/>
                <w:szCs w:val="22"/>
              </w:rPr>
              <w:t>Hg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47</w:t>
            </w:r>
            <w:r>
              <w:rPr>
                <w:color w:val="000000"/>
                <w:szCs w:val="22"/>
              </w:rPr>
              <w:t>Sc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90</w:t>
            </w:r>
            <w:r>
              <w:rPr>
                <w:color w:val="000000"/>
                <w:szCs w:val="22"/>
              </w:rPr>
              <w:t>Y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130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203</w:t>
            </w:r>
            <w:r>
              <w:rPr>
                <w:color w:val="000000"/>
                <w:szCs w:val="22"/>
              </w:rPr>
              <w:t>Hg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48</w:t>
            </w:r>
            <w:r>
              <w:rPr>
                <w:color w:val="000000"/>
                <w:szCs w:val="22"/>
              </w:rPr>
              <w:t>Sc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97+</w:t>
            </w:r>
            <w:r>
              <w:rPr>
                <w:color w:val="000000"/>
                <w:szCs w:val="22"/>
              </w:rPr>
              <w:t>Zr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132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201</w:t>
            </w:r>
            <w:r>
              <w:rPr>
                <w:color w:val="000000"/>
                <w:szCs w:val="22"/>
              </w:rPr>
              <w:t>TI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51</w:t>
            </w:r>
            <w:r>
              <w:rPr>
                <w:color w:val="000000"/>
                <w:szCs w:val="22"/>
              </w:rPr>
              <w:t>Cr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93m</w:t>
            </w:r>
            <w:r>
              <w:rPr>
                <w:color w:val="000000"/>
                <w:szCs w:val="22"/>
              </w:rPr>
              <w:t>Nb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134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202</w:t>
            </w:r>
            <w:r>
              <w:rPr>
                <w:color w:val="000000"/>
                <w:szCs w:val="22"/>
              </w:rPr>
              <w:t>TI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56</w:t>
            </w:r>
            <w:r>
              <w:rPr>
                <w:color w:val="000000"/>
                <w:szCs w:val="22"/>
              </w:rPr>
              <w:t>Mn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95</w:t>
            </w:r>
            <w:r>
              <w:rPr>
                <w:color w:val="000000"/>
                <w:szCs w:val="22"/>
              </w:rPr>
              <w:t>Nb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135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203</w:t>
            </w:r>
            <w:r>
              <w:rPr>
                <w:color w:val="000000"/>
                <w:szCs w:val="22"/>
              </w:rPr>
              <w:t>Pb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55</w:t>
            </w:r>
            <w:r>
              <w:rPr>
                <w:color w:val="000000"/>
                <w:szCs w:val="22"/>
              </w:rPr>
              <w:t>Fe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99</w:t>
            </w:r>
            <w:r>
              <w:rPr>
                <w:color w:val="000000"/>
                <w:szCs w:val="22"/>
              </w:rPr>
              <w:t>Mo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135</w:t>
            </w:r>
            <w:r>
              <w:rPr>
                <w:color w:val="000000"/>
                <w:szCs w:val="22"/>
              </w:rPr>
              <w:t>Xe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206</w:t>
            </w:r>
            <w:r>
              <w:rPr>
                <w:color w:val="000000"/>
                <w:szCs w:val="22"/>
              </w:rPr>
              <w:t>Bi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59</w:t>
            </w:r>
            <w:r>
              <w:rPr>
                <w:color w:val="000000"/>
                <w:szCs w:val="22"/>
              </w:rPr>
              <w:t>Fe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96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131</w:t>
            </w:r>
            <w:r>
              <w:rPr>
                <w:color w:val="000000"/>
                <w:szCs w:val="22"/>
              </w:rPr>
              <w:t>Cs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212+</w:t>
            </w:r>
            <w:r>
              <w:rPr>
                <w:color w:val="000000"/>
                <w:szCs w:val="22"/>
              </w:rPr>
              <w:t>Bi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57</w:t>
            </w:r>
            <w:r>
              <w:rPr>
                <w:color w:val="000000"/>
                <w:szCs w:val="22"/>
              </w:rPr>
              <w:t>Co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97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131</w:t>
            </w:r>
            <w:r>
              <w:rPr>
                <w:color w:val="000000"/>
                <w:szCs w:val="22"/>
              </w:rPr>
              <w:t>Ba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220+</w:t>
            </w:r>
            <w:r>
              <w:rPr>
                <w:color w:val="000000"/>
                <w:szCs w:val="22"/>
              </w:rPr>
              <w:t>Rn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lastRenderedPageBreak/>
              <w:t>58</w:t>
            </w:r>
            <w:r>
              <w:rPr>
                <w:color w:val="000000"/>
                <w:szCs w:val="22"/>
              </w:rPr>
              <w:t>Co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97m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140</w:t>
            </w:r>
            <w:r>
              <w:rPr>
                <w:color w:val="000000"/>
                <w:szCs w:val="22"/>
              </w:rPr>
              <w:t>La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222+</w:t>
            </w:r>
            <w:r>
              <w:rPr>
                <w:color w:val="000000"/>
                <w:szCs w:val="22"/>
              </w:rPr>
              <w:t>Rn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63</w:t>
            </w:r>
            <w:r>
              <w:rPr>
                <w:color w:val="000000"/>
                <w:szCs w:val="22"/>
              </w:rPr>
              <w:t>Ni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99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141</w:t>
            </w:r>
            <w:r>
              <w:rPr>
                <w:color w:val="000000"/>
                <w:szCs w:val="22"/>
              </w:rPr>
              <w:t>Ce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231</w:t>
            </w:r>
            <w:r>
              <w:rPr>
                <w:color w:val="000000"/>
                <w:szCs w:val="22"/>
              </w:rPr>
              <w:t>Th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65</w:t>
            </w:r>
            <w:r>
              <w:rPr>
                <w:color w:val="000000"/>
                <w:szCs w:val="22"/>
              </w:rPr>
              <w:t>Ni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97</w:t>
            </w:r>
            <w:r>
              <w:rPr>
                <w:color w:val="000000"/>
                <w:szCs w:val="22"/>
              </w:rPr>
              <w:t>Ru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143</w:t>
            </w:r>
            <w:r>
              <w:rPr>
                <w:color w:val="000000"/>
                <w:szCs w:val="22"/>
              </w:rPr>
              <w:t>Ce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233</w:t>
            </w:r>
            <w:r>
              <w:rPr>
                <w:color w:val="000000"/>
                <w:szCs w:val="22"/>
              </w:rPr>
              <w:t>Pa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64</w:t>
            </w:r>
            <w:r>
              <w:rPr>
                <w:color w:val="000000"/>
                <w:szCs w:val="22"/>
              </w:rPr>
              <w:t>Cu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103</w:t>
            </w:r>
            <w:r>
              <w:rPr>
                <w:color w:val="000000"/>
                <w:szCs w:val="22"/>
              </w:rPr>
              <w:t>Ru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147</w:t>
            </w:r>
            <w:r>
              <w:rPr>
                <w:color w:val="000000"/>
                <w:szCs w:val="22"/>
              </w:rPr>
              <w:t>Pm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133</w:t>
            </w:r>
            <w:r>
              <w:rPr>
                <w:color w:val="000000"/>
                <w:szCs w:val="22"/>
              </w:rPr>
              <w:t>Ba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65</w:t>
            </w:r>
            <w:r>
              <w:rPr>
                <w:color w:val="000000"/>
                <w:szCs w:val="22"/>
              </w:rPr>
              <w:t>Zn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105</w:t>
            </w:r>
            <w:r>
              <w:rPr>
                <w:color w:val="000000"/>
                <w:szCs w:val="22"/>
              </w:rPr>
              <w:t>Ag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152(9.2 h)</w:t>
            </w:r>
            <w:r>
              <w:rPr>
                <w:color w:val="000000"/>
                <w:szCs w:val="22"/>
              </w:rPr>
              <w:t>Eu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155</w:t>
            </w:r>
            <w:r>
              <w:rPr>
                <w:color w:val="000000"/>
                <w:szCs w:val="22"/>
              </w:rPr>
              <w:t>Eu</w:t>
            </w:r>
          </w:p>
        </w:tc>
      </w:tr>
      <w:tr w:rsidR="00B37960">
        <w:tc>
          <w:tcPr>
            <w:tcW w:w="1177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69m</w:t>
            </w:r>
            <w:r>
              <w:rPr>
                <w:color w:val="000000"/>
                <w:szCs w:val="22"/>
              </w:rPr>
              <w:t>Zn</w:t>
            </w:r>
          </w:p>
        </w:tc>
        <w:tc>
          <w:tcPr>
            <w:tcW w:w="1254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111</w:t>
            </w:r>
            <w:r>
              <w:rPr>
                <w:color w:val="000000"/>
                <w:szCs w:val="22"/>
              </w:rPr>
              <w:t>Ag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159</w:t>
            </w:r>
            <w:r>
              <w:rPr>
                <w:color w:val="000000"/>
                <w:szCs w:val="22"/>
              </w:rPr>
              <w:t>Gd</w:t>
            </w:r>
          </w:p>
        </w:tc>
        <w:tc>
          <w:tcPr>
            <w:tcW w:w="4669" w:type="dxa"/>
          </w:tcPr>
          <w:p w:rsidR="00B37960" w:rsidRDefault="00B37960">
            <w:pPr>
              <w:jc w:val="both"/>
              <w:rPr>
                <w:color w:val="000000"/>
              </w:rPr>
            </w:pPr>
          </w:p>
        </w:tc>
      </w:tr>
    </w:tbl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 klasės (mažo radiotoksiškumo) radionuklidai</w:t>
      </w:r>
    </w:p>
    <w:p w:rsidR="00B37960" w:rsidRDefault="00B37960">
      <w:pPr>
        <w:ind w:firstLine="709"/>
        <w:jc w:val="both"/>
        <w:rPr>
          <w:color w:val="000000"/>
        </w:rPr>
      </w:pPr>
    </w:p>
    <w:tbl>
      <w:tblPr>
        <w:tblW w:w="8409" w:type="dxa"/>
        <w:tblInd w:w="1230" w:type="dxa"/>
        <w:tblLook w:val="01E0" w:firstRow="1" w:lastRow="1" w:firstColumn="1" w:lastColumn="1" w:noHBand="0" w:noVBand="0"/>
      </w:tblPr>
      <w:tblGrid>
        <w:gridCol w:w="1176"/>
        <w:gridCol w:w="1255"/>
        <w:gridCol w:w="1309"/>
        <w:gridCol w:w="4669"/>
      </w:tblGrid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</w:t>
            </w:r>
            <w:r>
              <w:rPr>
                <w:color w:val="000000"/>
                <w:szCs w:val="22"/>
              </w:rPr>
              <w:t>H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68</w:t>
            </w:r>
            <w:r>
              <w:rPr>
                <w:color w:val="000000"/>
                <w:szCs w:val="22"/>
              </w:rPr>
              <w:t>Ga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97</w:t>
            </w:r>
            <w:r>
              <w:rPr>
                <w:color w:val="000000"/>
                <w:szCs w:val="22"/>
              </w:rPr>
              <w:t>Nb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134m</w:t>
            </w:r>
            <w:r>
              <w:rPr>
                <w:color w:val="000000"/>
                <w:szCs w:val="22"/>
              </w:rPr>
              <w:t>Cs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11</w:t>
            </w:r>
            <w:r>
              <w:rPr>
                <w:color w:val="000000"/>
                <w:szCs w:val="22"/>
              </w:rPr>
              <w:t>C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71</w:t>
            </w:r>
            <w:r>
              <w:rPr>
                <w:color w:val="000000"/>
                <w:szCs w:val="22"/>
              </w:rPr>
              <w:t>Ge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96m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135</w:t>
            </w:r>
            <w:r>
              <w:rPr>
                <w:color w:val="000000"/>
                <w:szCs w:val="22"/>
              </w:rPr>
              <w:t>Cs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</w:t>
            </w: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87</w:t>
            </w:r>
            <w:r>
              <w:rPr>
                <w:color w:val="000000"/>
                <w:szCs w:val="22"/>
              </w:rPr>
              <w:t>Rb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99m</w:t>
            </w:r>
            <w:r>
              <w:rPr>
                <w:color w:val="000000"/>
                <w:szCs w:val="22"/>
              </w:rPr>
              <w:t>Tc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232</w:t>
            </w:r>
            <w:r>
              <w:rPr>
                <w:color w:val="000000"/>
                <w:szCs w:val="22"/>
              </w:rPr>
              <w:t>Th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15</w:t>
            </w:r>
            <w:r>
              <w:rPr>
                <w:color w:val="000000"/>
                <w:szCs w:val="22"/>
              </w:rPr>
              <w:t>O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85m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113m</w:t>
            </w:r>
            <w:r>
              <w:rPr>
                <w:color w:val="000000"/>
                <w:szCs w:val="22"/>
              </w:rPr>
              <w:t>In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Nat</w:t>
            </w:r>
            <w:r>
              <w:rPr>
                <w:color w:val="000000"/>
                <w:szCs w:val="22"/>
              </w:rPr>
              <w:t>Th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37</w:t>
            </w:r>
            <w:r>
              <w:rPr>
                <w:color w:val="000000"/>
                <w:szCs w:val="22"/>
              </w:rPr>
              <w:t>Ar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87m</w:t>
            </w:r>
            <w:r>
              <w:rPr>
                <w:color w:val="000000"/>
                <w:szCs w:val="22"/>
              </w:rPr>
              <w:t>Sr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129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235+</w:t>
            </w:r>
            <w:r>
              <w:rPr>
                <w:color w:val="000000"/>
                <w:szCs w:val="22"/>
              </w:rPr>
              <w:t>U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59</w:t>
            </w:r>
            <w:r>
              <w:rPr>
                <w:color w:val="000000"/>
                <w:szCs w:val="22"/>
              </w:rPr>
              <w:t>Ni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91m</w:t>
            </w:r>
            <w:r>
              <w:rPr>
                <w:color w:val="000000"/>
                <w:szCs w:val="22"/>
              </w:rPr>
              <w:t>Y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131m</w:t>
            </w:r>
            <w:r>
              <w:rPr>
                <w:color w:val="000000"/>
                <w:szCs w:val="22"/>
              </w:rPr>
              <w:t>Xe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238+</w:t>
            </w:r>
            <w:r>
              <w:rPr>
                <w:color w:val="000000"/>
                <w:szCs w:val="22"/>
              </w:rPr>
              <w:t>U</w:t>
            </w:r>
          </w:p>
        </w:tc>
      </w:tr>
      <w:tr w:rsidR="00B37960">
        <w:tc>
          <w:tcPr>
            <w:tcW w:w="1176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69</w:t>
            </w:r>
            <w:r>
              <w:rPr>
                <w:color w:val="000000"/>
                <w:szCs w:val="22"/>
              </w:rPr>
              <w:t>Zn</w:t>
            </w:r>
          </w:p>
        </w:tc>
        <w:tc>
          <w:tcPr>
            <w:tcW w:w="1255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93+</w:t>
            </w:r>
            <w:r>
              <w:rPr>
                <w:color w:val="000000"/>
                <w:szCs w:val="22"/>
              </w:rPr>
              <w:t>Zr</w:t>
            </w:r>
          </w:p>
        </w:tc>
        <w:tc>
          <w:tcPr>
            <w:tcW w:w="1309" w:type="dxa"/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vertAlign w:val="superscript"/>
              </w:rPr>
              <w:t>133</w:t>
            </w:r>
            <w:r>
              <w:rPr>
                <w:color w:val="000000"/>
                <w:szCs w:val="22"/>
              </w:rPr>
              <w:t>Xe</w:t>
            </w:r>
          </w:p>
        </w:tc>
        <w:tc>
          <w:tcPr>
            <w:tcW w:w="4669" w:type="dxa"/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  <w:vertAlign w:val="superscript"/>
              </w:rPr>
              <w:t>Nat</w:t>
            </w:r>
            <w:r>
              <w:rPr>
                <w:color w:val="000000"/>
                <w:szCs w:val="22"/>
              </w:rPr>
              <w:t>U</w:t>
            </w:r>
          </w:p>
        </w:tc>
      </w:tr>
    </w:tbl>
    <w:p w:rsidR="00B37960" w:rsidRDefault="00B538BD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 w:rsidR="00B538BD" w:rsidRDefault="00B538BD">
      <w:pPr>
        <w:ind w:firstLine="5102"/>
        <w:sectPr w:rsidR="00B538BD" w:rsidSect="00B538BD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lastRenderedPageBreak/>
        <w:t xml:space="preserve">Lietuvos higienos normos HN </w:t>
      </w:r>
      <w:r>
        <w:rPr>
          <w:color w:val="000000"/>
          <w:szCs w:val="22"/>
        </w:rPr>
        <w:t>88:2005</w:t>
      </w:r>
    </w:p>
    <w:p w:rsidR="00B37960" w:rsidRDefault="00B538BD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 xml:space="preserve">„Nemedicininės paskirties atvirųjų </w:t>
      </w:r>
    </w:p>
    <w:p w:rsidR="00B37960" w:rsidRDefault="00B538BD">
      <w:pPr>
        <w:ind w:firstLine="5102"/>
        <w:rPr>
          <w:color w:val="000000"/>
          <w:szCs w:val="22"/>
        </w:rPr>
      </w:pPr>
      <w:r>
        <w:rPr>
          <w:color w:val="000000"/>
          <w:szCs w:val="22"/>
        </w:rPr>
        <w:t xml:space="preserve">jonizuojančiosios spinduliuotės šaltinių 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>radiacinė sauga“</w:t>
      </w:r>
    </w:p>
    <w:p w:rsidR="00B37960" w:rsidRDefault="00B538BD">
      <w:pPr>
        <w:ind w:firstLine="5102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 priedas</w:t>
      </w:r>
    </w:p>
    <w:p w:rsidR="00B37960" w:rsidRDefault="00B37960">
      <w:pPr>
        <w:ind w:firstLine="709"/>
        <w:jc w:val="both"/>
        <w:rPr>
          <w:color w:val="000000"/>
        </w:rPr>
      </w:pPr>
    </w:p>
    <w:p w:rsidR="00B37960" w:rsidRDefault="00B538B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LABORATORIJŲ SKIRSTYMAS Į NAUDOJAMŲ RADIONUKLIDŲ RADIOTOKSIŠKUMĄ IR VIENU METU LABORATORIJOJE TURIMĄ RADIONUKLIDŲ AKTYVUMĄ</w:t>
      </w:r>
    </w:p>
    <w:p w:rsidR="00B37960" w:rsidRDefault="00B37960">
      <w:pPr>
        <w:ind w:firstLine="709"/>
        <w:jc w:val="both"/>
        <w:rPr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21"/>
        <w:gridCol w:w="2391"/>
        <w:gridCol w:w="2393"/>
      </w:tblGrid>
      <w:tr w:rsidR="00B37960">
        <w:tc>
          <w:tcPr>
            <w:tcW w:w="2434" w:type="dxa"/>
            <w:tcBorders>
              <w:left w:val="nil"/>
            </w:tcBorders>
          </w:tcPr>
          <w:p w:rsidR="00B37960" w:rsidRDefault="00B538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Radionuklidų </w:t>
            </w:r>
            <w:r>
              <w:rPr>
                <w:color w:val="000000"/>
                <w:szCs w:val="22"/>
              </w:rPr>
              <w:t>radiotoksiškumo klasė</w:t>
            </w:r>
          </w:p>
        </w:tc>
        <w:tc>
          <w:tcPr>
            <w:tcW w:w="7205" w:type="dxa"/>
            <w:gridSpan w:val="3"/>
            <w:tcBorders>
              <w:right w:val="nil"/>
            </w:tcBorders>
          </w:tcPr>
          <w:p w:rsidR="00B37960" w:rsidRDefault="00B538B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Laboratorijos tipas</w:t>
            </w:r>
          </w:p>
        </w:tc>
      </w:tr>
      <w:tr w:rsidR="00B37960">
        <w:tc>
          <w:tcPr>
            <w:tcW w:w="2434" w:type="dxa"/>
            <w:tcBorders>
              <w:left w:val="nil"/>
              <w:bottom w:val="single" w:sz="4" w:space="0" w:color="auto"/>
            </w:tcBorders>
          </w:tcPr>
          <w:p w:rsidR="00B37960" w:rsidRDefault="00B37960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37960" w:rsidRDefault="00B538BD">
            <w:pPr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A 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B37960" w:rsidRDefault="00B538BD">
            <w:pPr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393" w:type="dxa"/>
            <w:tcBorders>
              <w:bottom w:val="single" w:sz="4" w:space="0" w:color="auto"/>
              <w:right w:val="nil"/>
            </w:tcBorders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>C</w:t>
            </w:r>
          </w:p>
        </w:tc>
      </w:tr>
      <w:tr w:rsidR="00B37960">
        <w:tc>
          <w:tcPr>
            <w:tcW w:w="2434" w:type="dxa"/>
            <w:tcBorders>
              <w:left w:val="nil"/>
              <w:bottom w:val="nil"/>
            </w:tcBorders>
          </w:tcPr>
          <w:p w:rsidR="00B37960" w:rsidRDefault="00B538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421" w:type="dxa"/>
            <w:tcBorders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&gt; 0,5 GBq</w:t>
            </w:r>
          </w:p>
        </w:tc>
        <w:tc>
          <w:tcPr>
            <w:tcW w:w="2391" w:type="dxa"/>
            <w:tcBorders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0,5 MBq–0,5</w:t>
            </w:r>
          </w:p>
        </w:tc>
        <w:tc>
          <w:tcPr>
            <w:tcW w:w="2393" w:type="dxa"/>
            <w:tcBorders>
              <w:bottom w:val="nil"/>
              <w:right w:val="nil"/>
            </w:tcBorders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GBq 0,005–0,5 MBq</w:t>
            </w:r>
          </w:p>
        </w:tc>
      </w:tr>
      <w:tr w:rsidR="00B37960">
        <w:tc>
          <w:tcPr>
            <w:tcW w:w="2434" w:type="dxa"/>
            <w:tcBorders>
              <w:top w:val="nil"/>
              <w:left w:val="nil"/>
              <w:bottom w:val="nil"/>
            </w:tcBorders>
          </w:tcPr>
          <w:p w:rsidR="00B37960" w:rsidRDefault="00B538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&gt; 5 GBq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 MBq–5 GBq 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0,05–5 MBq</w:t>
            </w:r>
          </w:p>
        </w:tc>
      </w:tr>
      <w:tr w:rsidR="00B37960">
        <w:tc>
          <w:tcPr>
            <w:tcW w:w="2434" w:type="dxa"/>
            <w:tcBorders>
              <w:top w:val="nil"/>
              <w:left w:val="nil"/>
              <w:bottom w:val="nil"/>
            </w:tcBorders>
          </w:tcPr>
          <w:p w:rsidR="00B37960" w:rsidRDefault="00B538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&gt; 50 GBq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50 MBq–50 GBq 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0,5–50 MBq</w:t>
            </w:r>
          </w:p>
        </w:tc>
      </w:tr>
      <w:tr w:rsidR="00B37960">
        <w:tc>
          <w:tcPr>
            <w:tcW w:w="2434" w:type="dxa"/>
            <w:tcBorders>
              <w:top w:val="nil"/>
              <w:left w:val="nil"/>
            </w:tcBorders>
          </w:tcPr>
          <w:p w:rsidR="00B37960" w:rsidRDefault="00B538B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2421" w:type="dxa"/>
            <w:tcBorders>
              <w:top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&gt; 500 GBq</w:t>
            </w:r>
          </w:p>
        </w:tc>
        <w:tc>
          <w:tcPr>
            <w:tcW w:w="2391" w:type="dxa"/>
            <w:tcBorders>
              <w:top w:val="nil"/>
            </w:tcBorders>
          </w:tcPr>
          <w:p w:rsidR="00B37960" w:rsidRDefault="00B538BD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500 MBq–500 GBq </w:t>
            </w:r>
          </w:p>
        </w:tc>
        <w:tc>
          <w:tcPr>
            <w:tcW w:w="2393" w:type="dxa"/>
            <w:tcBorders>
              <w:top w:val="nil"/>
              <w:right w:val="nil"/>
            </w:tcBorders>
          </w:tcPr>
          <w:p w:rsidR="00B37960" w:rsidRDefault="00B538BD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5–500 MBq</w:t>
            </w:r>
          </w:p>
        </w:tc>
      </w:tr>
    </w:tbl>
    <w:p w:rsidR="00B37960" w:rsidRDefault="00B538BD" w:rsidP="00B538BD">
      <w:pPr>
        <w:jc w:val="center"/>
      </w:pPr>
      <w:r>
        <w:rPr>
          <w:color w:val="000000"/>
          <w:szCs w:val="12"/>
        </w:rPr>
        <w:t>______________</w:t>
      </w:r>
    </w:p>
    <w:sectPr w:rsidR="00B37960" w:rsidSect="00B538BD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60" w:rsidRDefault="00B538BD">
      <w:r>
        <w:separator/>
      </w:r>
    </w:p>
  </w:endnote>
  <w:endnote w:type="continuationSeparator" w:id="0">
    <w:p w:rsidR="00B37960" w:rsidRDefault="00B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60" w:rsidRDefault="00B3796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60" w:rsidRDefault="00B3796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60" w:rsidRDefault="00B3796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60" w:rsidRDefault="00B538BD">
      <w:r>
        <w:separator/>
      </w:r>
    </w:p>
  </w:footnote>
  <w:footnote w:type="continuationSeparator" w:id="0">
    <w:p w:rsidR="00B37960" w:rsidRDefault="00B5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60" w:rsidRDefault="00B538BD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37960" w:rsidRDefault="00B3796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92772"/>
      <w:docPartObj>
        <w:docPartGallery w:val="Page Numbers (Top of Page)"/>
        <w:docPartUnique/>
      </w:docPartObj>
    </w:sdtPr>
    <w:sdtContent>
      <w:p w:rsidR="00B538BD" w:rsidRDefault="00B538B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7960" w:rsidRDefault="00B37960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60" w:rsidRDefault="00B3796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1"/>
    <w:rsid w:val="00B37960"/>
    <w:rsid w:val="00B538BD"/>
    <w:rsid w:val="00F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61481D"/>
  <w15:docId w15:val="{398F3E49-50E7-45A3-A991-D601D19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538B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538B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95794234239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hyperlink" TargetMode="External" Target="https://www.e-tar.lt/portal/lt/legalAct/TAR.7083DB116A2E"/>
  <Relationship Id="rId18" Type="http://schemas.openxmlformats.org/officeDocument/2006/relationships/hyperlink" TargetMode="External" Target="https://www.e-tar.lt/portal/lt/legalAct/TAR.951DF53F837F"/>
  <Relationship Id="rId19" Type="http://schemas.openxmlformats.org/officeDocument/2006/relationships/hyperlink" TargetMode="External" Target="https://www.e-tar.lt/portal/lt/legalAct/TAR.751B6F8BF451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4AD2BD62CE45"/>
  <Relationship Id="rId21" Type="http://schemas.openxmlformats.org/officeDocument/2006/relationships/hyperlink" TargetMode="External" Target="https://www.e-tar.lt/portal/lt/legalAct/TAR.7E7A76D1E707"/>
  <Relationship Id="rId22" Type="http://schemas.openxmlformats.org/officeDocument/2006/relationships/hyperlink" TargetMode="External" Target="https://www.e-tar.lt/portal/lt/legalAct/TAR.21B944F44F10"/>
  <Relationship Id="rId23" Type="http://schemas.openxmlformats.org/officeDocument/2006/relationships/hyperlink" TargetMode="External" Target="https://www.e-tar.lt/portal/lt/legalAct/TAR.F1E1A1C8963B"/>
  <Relationship Id="rId24" Type="http://schemas.openxmlformats.org/officeDocument/2006/relationships/hyperlink" TargetMode="External" Target="https://www.e-tar.lt/portal/lt/legalAct/TAR.F330CF1116DE"/>
  <Relationship Id="rId25" Type="http://schemas.openxmlformats.org/officeDocument/2006/relationships/hyperlink" TargetMode="External" Target="https://www.e-tar.lt/portal/lt/legalAct/TAR.EDCABCFD974F"/>
  <Relationship Id="rId26" Type="http://schemas.openxmlformats.org/officeDocument/2006/relationships/hyperlink" TargetMode="External" Target="https://www.e-tar.lt/portal/lt/legalAct/TAR.E434668FE952"/>
  <Relationship Id="rId27" Type="http://schemas.openxmlformats.org/officeDocument/2006/relationships/hyperlink" TargetMode="External" Target="https://www.e-tar.lt/portal/lt/legalAct/TAR.8AE0FCDAA720"/>
  <Relationship Id="rId28" Type="http://schemas.openxmlformats.org/officeDocument/2006/relationships/hyperlink" TargetMode="External" Target="https://www.e-tar.lt/portal/lt/legalAct/TAR.7ED4367E81B8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7083DB116A2E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17493</Words>
  <Characters>9972</Characters>
  <Application>Microsoft Office Word</Application>
  <DocSecurity>0</DocSecurity>
  <Lines>83</Lines>
  <Paragraphs>54</Paragraphs>
  <ScaleCrop>false</ScaleCrop>
  <Company/>
  <LinksUpToDate>false</LinksUpToDate>
  <CharactersWithSpaces>27411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2015-09-29T19:43:00Z</dcterms:created>
  <dc:creator>User</dc:creator>
  <lastModifiedBy>TAMALIŪNIENĖ Vilija</lastModifiedBy>
  <dcterms:modified xsi:type="dcterms:W3CDTF">2021-12-15T09:11:00Z</dcterms:modified>
  <revision>3</revision>
</coreProperties>
</file>