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08E52" w14:textId="77777777" w:rsidR="006472B8" w:rsidRDefault="00687448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0408E7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ŠVIETIMO IR MOKSLO MINISTRO,</w:t>
      </w:r>
    </w:p>
    <w:p w14:paraId="30408E53" w14:textId="77777777" w:rsidR="006472B8" w:rsidRDefault="0068744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LIETUVOS RESPUBLIKOS SVEIKATOS APSAUGOS MINISTRO </w:t>
      </w:r>
    </w:p>
    <w:p w14:paraId="30408E54" w14:textId="77777777" w:rsidR="006472B8" w:rsidRDefault="0068744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IR LIETUVOS RESPUBLIKOS SOCIALINĖS APSAUGOS IR DARBO MINISTRO</w:t>
      </w:r>
    </w:p>
    <w:p w14:paraId="30408E55" w14:textId="77777777" w:rsidR="006472B8" w:rsidRDefault="00687448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30408E56" w14:textId="77777777" w:rsidR="006472B8" w:rsidRDefault="006472B8">
      <w:pPr>
        <w:widowControl w:val="0"/>
        <w:suppressAutoHyphens/>
        <w:jc w:val="center"/>
        <w:rPr>
          <w:color w:val="000000"/>
        </w:rPr>
      </w:pPr>
    </w:p>
    <w:p w14:paraId="30408E57" w14:textId="77777777" w:rsidR="006472B8" w:rsidRDefault="00687448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ŠVIETIMO IR MOKSLO MINISTRO, SVEIKATOS APSAUG</w:t>
      </w:r>
      <w:r>
        <w:rPr>
          <w:b/>
          <w:bCs/>
          <w:caps/>
          <w:color w:val="000000"/>
        </w:rPr>
        <w:t>OS MINISTRO, SOCIALINĖS APSAUGOS IR DARBO MINISTRO 2000 M. SPALIO 4 D. ĮSAKYMO Nr. 1221/527/83 „DĖL ASMENS SPECIALIŲJŲ UGDYMOSI POREIKIŲ ĮVERTINIMO TVARKOS“ PAKEITIMO</w:t>
      </w:r>
    </w:p>
    <w:p w14:paraId="30408E58" w14:textId="77777777" w:rsidR="006472B8" w:rsidRDefault="006472B8">
      <w:pPr>
        <w:widowControl w:val="0"/>
        <w:suppressAutoHyphens/>
        <w:jc w:val="center"/>
        <w:rPr>
          <w:color w:val="000000"/>
        </w:rPr>
      </w:pPr>
    </w:p>
    <w:p w14:paraId="30408E59" w14:textId="77777777" w:rsidR="006472B8" w:rsidRDefault="0068744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spalio 7 d. Nr. V-1676/V-886/A1-469</w:t>
      </w:r>
    </w:p>
    <w:p w14:paraId="30408E5A" w14:textId="77777777" w:rsidR="006472B8" w:rsidRDefault="00687448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0408E5B" w14:textId="77777777" w:rsidR="006472B8" w:rsidRDefault="006472B8">
      <w:pPr>
        <w:widowControl w:val="0"/>
        <w:suppressAutoHyphens/>
        <w:jc w:val="both"/>
        <w:rPr>
          <w:color w:val="000000"/>
        </w:rPr>
      </w:pPr>
    </w:p>
    <w:p w14:paraId="07CD17CB" w14:textId="77777777" w:rsidR="00687448" w:rsidRDefault="00687448">
      <w:pPr>
        <w:widowControl w:val="0"/>
        <w:suppressAutoHyphens/>
        <w:jc w:val="both"/>
        <w:rPr>
          <w:color w:val="000000"/>
        </w:rPr>
      </w:pPr>
    </w:p>
    <w:p w14:paraId="30408E5C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Įgyvendindami Priemonių apskričių v</w:t>
      </w:r>
      <w:r>
        <w:rPr>
          <w:color w:val="000000"/>
        </w:rPr>
        <w:t>iršininkų vykdomoms funkcijoms perskirstyti plano, patvirtinto Lietuvos Respublikos Vyriausybės 2009 m. liepos 22 d. nutarimu Nr. 815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2009, Nr. </w:t>
      </w:r>
      <w:hyperlink r:id="rId10" w:tgtFrame="_blank" w:history="1">
        <w:r>
          <w:rPr>
            <w:color w:val="0000FF" w:themeColor="hyperlink"/>
            <w:u w:val="single"/>
          </w:rPr>
          <w:t>90-3885</w:t>
        </w:r>
      </w:hyperlink>
      <w:r>
        <w:rPr>
          <w:color w:val="000000"/>
        </w:rPr>
        <w:t>), 13 punktą,</w:t>
      </w:r>
    </w:p>
    <w:p w14:paraId="30408E5D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</w:t>
      </w:r>
      <w:r>
        <w:rPr>
          <w:color w:val="000000"/>
          <w:spacing w:val="60"/>
        </w:rPr>
        <w:t>eičiame</w:t>
      </w:r>
      <w:r>
        <w:rPr>
          <w:color w:val="000000"/>
        </w:rPr>
        <w:t xml:space="preserve"> Asmens specialiųjų ugdymosi poreikių įvertinimo tvarką, patvirtintą Lietuvos Respublikos švietimo ir mokslo ministro, Lietuvos Respublikos sveikatos apsaugos ministro ir Lietuvos Respublikos socialinės apsaugos ir darbo ministro 2000 m. spalio 4 d.</w:t>
      </w:r>
      <w:r>
        <w:rPr>
          <w:color w:val="000000"/>
        </w:rPr>
        <w:t xml:space="preserve"> įsakymu Nr. 1221/527/83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2000, Nr. </w:t>
      </w:r>
      <w:hyperlink r:id="rId11" w:tgtFrame="_blank" w:history="1">
        <w:r>
          <w:rPr>
            <w:color w:val="0000FF" w:themeColor="hyperlink"/>
            <w:u w:val="single"/>
          </w:rPr>
          <w:t>85-2608</w:t>
        </w:r>
      </w:hyperlink>
      <w:r>
        <w:rPr>
          <w:color w:val="000000"/>
        </w:rPr>
        <w:t>):</w:t>
      </w:r>
    </w:p>
    <w:p w14:paraId="30408E5E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Išdėstome 4.2 punktą taip:</w:t>
      </w:r>
    </w:p>
    <w:p w14:paraId="30408E5F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4.2</w:t>
      </w:r>
      <w:r>
        <w:rPr>
          <w:color w:val="000000"/>
        </w:rPr>
        <w:t>. savivaldybės pedagoginė psichologinė tarnyba, o jos nesant, kitos savivaldybės peda</w:t>
      </w:r>
      <w:r>
        <w:rPr>
          <w:color w:val="000000"/>
        </w:rPr>
        <w:t>goginė psichologinė tarnyba, kuri pagal šių tarnybų steigėjų sudarytą sutartį aptarnauja savivaldybės, neįsteigusios pedagoginės psichologinės tarnybos, gyventojus – asmenų, neugdomų švietimo įstaigose ir ugdomų bendrojo ugdymo ar specialiojo ugdymo įstaig</w:t>
      </w:r>
      <w:r>
        <w:rPr>
          <w:color w:val="000000"/>
        </w:rPr>
        <w:t>ose bei namuose, nuodugnų įvertinimą;“.</w:t>
      </w:r>
    </w:p>
    <w:p w14:paraId="30408E60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Pripažįstame netekusiais galios 4.3 ir 4.4 punktus.</w:t>
      </w:r>
    </w:p>
    <w:p w14:paraId="30408E61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Įrašome 5 ir 6 punktuose vietoj žodžių „(ar vaiko globėjų)“ žodžius „(globėjų, rūpintojų)“.</w:t>
      </w:r>
    </w:p>
    <w:p w14:paraId="30408E62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Išdėstome 8 punktą taip:</w:t>
      </w:r>
    </w:p>
    <w:p w14:paraId="30408E63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 xml:space="preserve">. Šeimos </w:t>
      </w:r>
      <w:r>
        <w:rPr>
          <w:color w:val="000000"/>
        </w:rPr>
        <w:t>gydytojas, vaikų ligų gydytojas arba gydytojas specialistas, naujagimiui ar kūdikiui nustatęs raidos (vystymosi) sutrikimus arba rizikos veiksnius jiems atsirasti, siunčia jį ART konsultacijai ar (ir) specialiesiems ugdymosi poreikiams įvertinti“.</w:t>
      </w:r>
    </w:p>
    <w:p w14:paraId="30408E64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Įrašome 9 punkte vietoj žodžių „Bendrosios praktikos gydytojas, gydytojas pediatras“ žodžius „Šeimos gydytojas, vaikų ligų gydytojas“.</w:t>
      </w:r>
    </w:p>
    <w:p w14:paraId="30408E65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Įrašome 11, 12, 13, 14, 16 punktuose vietoj žodžių „(ar vaiko globėjų)“ žodžius „(globėjai, rūpintojai)“ reikia</w:t>
      </w:r>
      <w:r>
        <w:rPr>
          <w:color w:val="000000"/>
        </w:rPr>
        <w:t>mu linksniu.</w:t>
      </w:r>
    </w:p>
    <w:p w14:paraId="30408E66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Išdėstome 18 punktą taip:</w:t>
      </w:r>
    </w:p>
    <w:p w14:paraId="30408E67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18</w:t>
      </w:r>
      <w:r>
        <w:rPr>
          <w:color w:val="000000"/>
        </w:rPr>
        <w:t xml:space="preserve">. Tėvams (globėjams, rūpintojams) nesutikus su savivaldybės pedagoginės psichologinės tarnybos įvertinimu dėl vaiko specialiųjų ugdymosi poreikių, jo specialieji ugdymosi poreikiai vertinami Specialiosios </w:t>
      </w:r>
      <w:r>
        <w:rPr>
          <w:color w:val="000000"/>
        </w:rPr>
        <w:t>pedagogikos ir psichologijos centre“.</w:t>
      </w:r>
    </w:p>
    <w:p w14:paraId="30408E68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Įrašome 19 punkte vietoj žodžių „(ar globėjų)“ žodžius „(globėjų, rūpintojų)“.</w:t>
      </w:r>
    </w:p>
    <w:p w14:paraId="30408E69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Išdėstome 20 punktą taip:</w:t>
      </w:r>
    </w:p>
    <w:p w14:paraId="30408E6A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20</w:t>
      </w:r>
      <w:r>
        <w:rPr>
          <w:color w:val="000000"/>
        </w:rPr>
        <w:t>. Specialiųjų poreikių vaikui išvykus į kitą ikimokyklinio ugdymo įstaigą ar mokyklą, šiai</w:t>
      </w:r>
      <w:r>
        <w:rPr>
          <w:color w:val="000000"/>
        </w:rPr>
        <w:t xml:space="preserve"> įstaigai pedagoginės psichologinės tarnybos pažyma dėl pedagoginio psichologinio asmens specialiųjų ugdymosi poreikių įvertinimo (5 priedas) ir švietimo įstaigos specialiojo ugdymo komisijos pažyma dėl specialiųjų ugdymosi poreikių pradinio vertinimo (4 p</w:t>
      </w:r>
      <w:r>
        <w:rPr>
          <w:color w:val="000000"/>
        </w:rPr>
        <w:t>riedas) perduodama tėvams (globėjams, rūpintojams) sutikus.“</w:t>
      </w:r>
    </w:p>
    <w:p w14:paraId="30408E6B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Išdėstome 21 punktą taip:</w:t>
      </w:r>
    </w:p>
    <w:p w14:paraId="30408E6C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21</w:t>
      </w:r>
      <w:r>
        <w:rPr>
          <w:color w:val="000000"/>
        </w:rPr>
        <w:t xml:space="preserve">. Asmens specialiųjų ugdymosi poreikių įvertinimo dokumentai (5 priedas) ir specialistų </w:t>
      </w:r>
      <w:r>
        <w:rPr>
          <w:color w:val="000000"/>
        </w:rPr>
        <w:lastRenderedPageBreak/>
        <w:t xml:space="preserve">individualaus psichologinio, </w:t>
      </w:r>
      <w:proofErr w:type="spellStart"/>
      <w:r>
        <w:rPr>
          <w:color w:val="000000"/>
        </w:rPr>
        <w:t>logopedinio</w:t>
      </w:r>
      <w:proofErr w:type="spellEnd"/>
      <w:r>
        <w:rPr>
          <w:color w:val="000000"/>
        </w:rPr>
        <w:t>, medicininio tyrimų pro</w:t>
      </w:r>
      <w:r>
        <w:rPr>
          <w:color w:val="000000"/>
        </w:rPr>
        <w:t xml:space="preserve">tokolai, klausimynai </w:t>
      </w:r>
      <w:proofErr w:type="spellStart"/>
      <w:r>
        <w:rPr>
          <w:color w:val="000000"/>
        </w:rPr>
        <w:t>ir(ar</w:t>
      </w:r>
      <w:proofErr w:type="spellEnd"/>
      <w:r>
        <w:rPr>
          <w:color w:val="000000"/>
        </w:rPr>
        <w:t>) aprašai saugomi savivaldybės pedagoginėje psichologinėje tarnyboje, kol asmeniui sukaks 25 metai.“</w:t>
      </w:r>
    </w:p>
    <w:p w14:paraId="30408E6D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Išdėstome 22 punktą taip:</w:t>
      </w:r>
    </w:p>
    <w:p w14:paraId="30408E6E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22</w:t>
      </w:r>
      <w:r>
        <w:rPr>
          <w:color w:val="000000"/>
        </w:rPr>
        <w:t xml:space="preserve">. Švietimo įstaigos specialiojo ugdymo komisija, savivaldybės pedagoginė psichologinė </w:t>
      </w:r>
      <w:r>
        <w:rPr>
          <w:color w:val="000000"/>
        </w:rPr>
        <w:t xml:space="preserve">tarnyba, Specialiosios pedagogikos ir psichologijos centras atsako už specialiųjų poreikių asmenų įvertinimo dokumentų konfidencialumą. Specialiojo ugdymo komisijos vadovas leidžia susipažinti su asmens specialiųjų ugdymosi poreikių įvertinimo dokumentais </w:t>
      </w:r>
      <w:r>
        <w:rPr>
          <w:color w:val="000000"/>
        </w:rPr>
        <w:t>tą asmenį ugdantiems pedagogams, tėvams (globėjams, rūpintojams), švietimo įstaigos steigėjo administracijos padalinio, kuruojančio švietimo įstaigą, darbuotojams, pedagoginei psichologinei tarnybai, švietimo priežiūrą vykdantiems specialistams, savivaldyb</w:t>
      </w:r>
      <w:r>
        <w:rPr>
          <w:color w:val="000000"/>
        </w:rPr>
        <w:t>ės administracijos Vaiko teisių apsaugos skyriaus ir Valstybės vaiko teisių apsaugos ir įvaikinimo tarnybos prie Socialinės apsaugos ir darbo ministerijos atstovams.“</w:t>
      </w:r>
    </w:p>
    <w:p w14:paraId="30408E6F" w14:textId="77777777" w:rsidR="006472B8" w:rsidRDefault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Įrašome 23 punkte ir 1 priedo 3 formoje, 4 priedo 4 formoje, 5 priedo 5 formo</w:t>
      </w:r>
      <w:r>
        <w:rPr>
          <w:color w:val="000000"/>
        </w:rPr>
        <w:t>je, 7 priedo 8 formoje, 8 priedo 2 formoje vietoj žodžių „(ar vaiko globėjų)“ žodžius „(globėjai, rūpintojai)“ reikiamu linksniu.</w:t>
      </w:r>
    </w:p>
    <w:p w14:paraId="30408E72" w14:textId="33B241A2" w:rsidR="006472B8" w:rsidRDefault="00687448" w:rsidP="0068744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Išbraukiame 1 priedo 3 formoje žodžius „PASTABA. Pildo tėvai (ar vaiko globėjai)“.</w:t>
      </w:r>
    </w:p>
    <w:p w14:paraId="61D70FBC" w14:textId="77777777" w:rsidR="00687448" w:rsidRDefault="00687448">
      <w:pPr>
        <w:widowControl w:val="0"/>
        <w:tabs>
          <w:tab w:val="right" w:pos="9071"/>
        </w:tabs>
        <w:suppressAutoHyphens/>
      </w:pPr>
    </w:p>
    <w:p w14:paraId="5AB3AF66" w14:textId="77777777" w:rsidR="00687448" w:rsidRDefault="00687448">
      <w:pPr>
        <w:widowControl w:val="0"/>
        <w:tabs>
          <w:tab w:val="right" w:pos="9071"/>
        </w:tabs>
        <w:suppressAutoHyphens/>
      </w:pPr>
    </w:p>
    <w:p w14:paraId="3A5CD1C5" w14:textId="77777777" w:rsidR="00687448" w:rsidRDefault="00687448">
      <w:pPr>
        <w:widowControl w:val="0"/>
        <w:tabs>
          <w:tab w:val="right" w:pos="9071"/>
        </w:tabs>
        <w:suppressAutoHyphens/>
      </w:pPr>
    </w:p>
    <w:p w14:paraId="30408E73" w14:textId="128385E0" w:rsidR="006472B8" w:rsidRDefault="00687448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Švietimo ir mokslo ministras</w:t>
      </w:r>
      <w:r>
        <w:rPr>
          <w:caps/>
          <w:color w:val="000000"/>
        </w:rPr>
        <w:tab/>
        <w:t>Gi</w:t>
      </w:r>
      <w:r>
        <w:rPr>
          <w:caps/>
          <w:color w:val="000000"/>
        </w:rPr>
        <w:t>ntaras Steponavičius</w:t>
      </w:r>
    </w:p>
    <w:p w14:paraId="30408E74" w14:textId="77777777" w:rsidR="006472B8" w:rsidRDefault="006472B8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15E833C2" w14:textId="77777777" w:rsidR="00687448" w:rsidRDefault="00687448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08164E01" w14:textId="77777777" w:rsidR="00687448" w:rsidRDefault="00687448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0408E75" w14:textId="77777777" w:rsidR="006472B8" w:rsidRDefault="00687448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Raimondas Šukys</w:t>
      </w:r>
    </w:p>
    <w:p w14:paraId="30408E76" w14:textId="77777777" w:rsidR="006472B8" w:rsidRDefault="006472B8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5ABB3C80" w14:textId="77777777" w:rsidR="00687448" w:rsidRDefault="00687448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5C0CE6EB" w14:textId="77777777" w:rsidR="00687448" w:rsidRDefault="00687448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bookmarkStart w:id="0" w:name="_GoBack"/>
      <w:bookmarkEnd w:id="0"/>
    </w:p>
    <w:p w14:paraId="30408E79" w14:textId="282B0A81" w:rsidR="006472B8" w:rsidRDefault="00687448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 xml:space="preserve">Socialinės apsaugos ir darbo ministras </w:t>
      </w:r>
      <w:r>
        <w:rPr>
          <w:caps/>
          <w:color w:val="000000"/>
        </w:rPr>
        <w:tab/>
        <w:t>Donatas Jankauskas</w:t>
      </w:r>
    </w:p>
    <w:sectPr w:rsidR="006472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08E7D" w14:textId="77777777" w:rsidR="006472B8" w:rsidRDefault="00687448">
      <w:r>
        <w:separator/>
      </w:r>
    </w:p>
  </w:endnote>
  <w:endnote w:type="continuationSeparator" w:id="0">
    <w:p w14:paraId="30408E7E" w14:textId="77777777" w:rsidR="006472B8" w:rsidRDefault="0068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8E81" w14:textId="77777777" w:rsidR="006472B8" w:rsidRDefault="006472B8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8E82" w14:textId="77777777" w:rsidR="006472B8" w:rsidRDefault="006472B8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8E84" w14:textId="77777777" w:rsidR="006472B8" w:rsidRDefault="006472B8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08E7B" w14:textId="77777777" w:rsidR="006472B8" w:rsidRDefault="00687448">
      <w:r>
        <w:separator/>
      </w:r>
    </w:p>
  </w:footnote>
  <w:footnote w:type="continuationSeparator" w:id="0">
    <w:p w14:paraId="30408E7C" w14:textId="77777777" w:rsidR="006472B8" w:rsidRDefault="0068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8E7F" w14:textId="77777777" w:rsidR="006472B8" w:rsidRDefault="006472B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8E80" w14:textId="77777777" w:rsidR="006472B8" w:rsidRDefault="006472B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8E83" w14:textId="77777777" w:rsidR="006472B8" w:rsidRDefault="006472B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B2"/>
    <w:rsid w:val="006472B8"/>
    <w:rsid w:val="00687448"/>
    <w:rsid w:val="00B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40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40F0327115A"/>
  <Relationship Id="rId11" Type="http://schemas.openxmlformats.org/officeDocument/2006/relationships/hyperlink" TargetMode="External" Target="https://www.e-tar.lt/portal/lt/legalAct/TAR.3BDB91FF030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2995</Words>
  <Characters>1708</Characters>
  <Application>Microsoft Office Word</Application>
  <DocSecurity>0</DocSecurity>
  <Lines>14</Lines>
  <Paragraphs>9</Paragraphs>
  <ScaleCrop>false</ScaleCrop>
  <Company>Teisines informacijos centras</Company>
  <LinksUpToDate>false</LinksUpToDate>
  <CharactersWithSpaces>4694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2016-11-16T09:24:00Z</dcterms:created>
  <dc:creator>Sandra</dc:creator>
  <lastModifiedBy>PAVKŠTELO Julita</lastModifiedBy>
  <dcterms:modified xsi:type="dcterms:W3CDTF">2016-11-16T09:45:00Z</dcterms:modified>
  <revision>3</revision>
  <dc:title>LIETUVOS RESPUBLIKOS ŠVIETIMO IR MOKSLO MINISTRO,</dc:title>
</coreProperties>
</file>