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widowControl w:val="0"/>
        <w:suppressAutoHyphens/>
        <w:jc w:val="center"/>
        <w:rPr>
          <w:b/>
          <w:bCs/>
          <w:caps/>
          <w:color w:val="000000"/>
        </w:rPr>
      </w:pPr>
      <w:r>
        <w:rPr>
          <w:b/>
          <w:bCs/>
          <w:caps/>
          <w:color w:val="000000"/>
        </w:rPr>
        <w:t>TEISMŲ ĮSTATYMO 45, 55</w:t>
      </w:r>
      <w:r>
        <w:rPr>
          <w:b/>
          <w:bCs/>
          <w:caps/>
          <w:color w:val="000000"/>
          <w:vertAlign w:val="superscript"/>
        </w:rPr>
        <w:t>1</w:t>
      </w:r>
      <w:r>
        <w:rPr>
          <w:b/>
          <w:bCs/>
          <w:caps/>
          <w:color w:val="000000"/>
        </w:rPr>
        <w:t xml:space="preserve">, 63 IR 101 STRAIPSNIŲ PAKEITIMO </w:t>
      </w:r>
    </w:p>
    <w:p>
      <w:pPr>
        <w:widowControl w:val="0"/>
        <w:suppressAutoHyphens/>
        <w:jc w:val="center"/>
        <w:rPr>
          <w:b/>
          <w:bCs/>
          <w:caps/>
          <w:color w:val="000000"/>
          <w:spacing w:val="60"/>
        </w:rPr>
      </w:pPr>
      <w:r>
        <w:rPr>
          <w:b/>
          <w:bCs/>
          <w:caps/>
          <w:color w:val="000000"/>
          <w:spacing w:val="60"/>
        </w:rPr>
        <w:t>ĮSTATYMAS</w:t>
      </w:r>
    </w:p>
    <w:p>
      <w:pPr>
        <w:widowControl w:val="0"/>
        <w:suppressAutoHyphens/>
        <w:jc w:val="center"/>
        <w:rPr>
          <w:color w:val="000000"/>
        </w:rPr>
      </w:pPr>
    </w:p>
    <w:p>
      <w:pPr>
        <w:widowControl w:val="0"/>
        <w:suppressAutoHyphens/>
        <w:jc w:val="center"/>
        <w:rPr>
          <w:color w:val="000000"/>
        </w:rPr>
      </w:pPr>
      <w:r>
        <w:rPr>
          <w:color w:val="000000"/>
        </w:rPr>
        <w:t>2011 m. gegužės 26 d. Nr. XI-1423</w:t>
      </w:r>
    </w:p>
    <w:p>
      <w:pPr>
        <w:widowControl w:val="0"/>
        <w:suppressAutoHyphens/>
        <w:jc w:val="center"/>
        <w:rPr>
          <w:color w:val="000000"/>
        </w:rPr>
      </w:pPr>
      <w:r>
        <w:rPr>
          <w:color w:val="000000"/>
        </w:rPr>
        <w:t>Vilnius</w:t>
      </w:r>
    </w:p>
    <w:p>
      <w:pPr>
        <w:widowControl w:val="0"/>
        <w:suppressAutoHyphens/>
        <w:jc w:val="center"/>
        <w:rPr>
          <w:b/>
          <w:bCs/>
          <w:color w:val="000000"/>
        </w:rPr>
      </w:pPr>
    </w:p>
    <w:p>
      <w:pPr>
        <w:widowControl w:val="0"/>
        <w:suppressAutoHyphens/>
        <w:jc w:val="center"/>
        <w:rPr>
          <w:color w:val="000000"/>
        </w:rPr>
      </w:pPr>
      <w:r>
        <w:rPr>
          <w:color w:val="000000"/>
        </w:rPr>
        <w:t xml:space="preserve">(Žin., 1994, Nr. </w:t>
      </w:r>
      <w:fldSimple w:instr="HYPERLINK https://www.e-tar.lt/portal/lt/legalAct/TAR.522B3E415B52 \t _blank">
        <w:r>
          <w:rPr>
            <w:color w:val="0000FF" w:themeColor="hyperlink"/>
            <w:u w:val="single"/>
          </w:rPr>
          <w:t>46-851</w:t>
        </w:r>
      </w:fldSimple>
      <w:r>
        <w:rPr>
          <w:color w:val="000000"/>
        </w:rPr>
        <w:t xml:space="preserve">; 2002, Nr. </w:t>
      </w:r>
      <w:fldSimple w:instr="HYPERLINK https://www.e-tar.lt/portal/lt/legalAct/TAR.390AEF086CE3 \t _blank">
        <w:r>
          <w:rPr>
            <w:color w:val="0000FF" w:themeColor="hyperlink"/>
            <w:u w:val="single"/>
          </w:rPr>
          <w:t>17-649</w:t>
        </w:r>
      </w:fldSimple>
      <w:r>
        <w:rPr>
          <w:color w:val="000000"/>
        </w:rPr>
        <w:t xml:space="preserve">; 2003, Nr. </w:t>
      </w:r>
      <w:fldSimple w:instr="HYPERLINK https://www.e-tar.lt/portal/lt/legalAct/TAR.A12152C040BC \t _blank">
        <w:r>
          <w:rPr>
            <w:color w:val="0000FF" w:themeColor="hyperlink"/>
            <w:u w:val="single"/>
          </w:rPr>
          <w:t>17-700</w:t>
        </w:r>
      </w:fldSimple>
      <w:r>
        <w:rPr>
          <w:color w:val="000000"/>
        </w:rPr>
        <w:t xml:space="preserve">; 2006, </w:t>
      </w:r>
      <w:r>
        <w:rPr>
          <w:color w:val="000000"/>
        </w:rPr>
        <w:br/>
      </w:r>
      <w:r>
        <w:rPr>
          <w:color w:val="000000"/>
        </w:rPr>
        <w:t xml:space="preserve">Nr. </w:t>
      </w:r>
      <w:fldSimple w:instr="HYPERLINK https://www.e-tar.lt/portal/lt/legalAct/TAR.620BB9BF5982 \t _blank">
        <w:r>
          <w:rPr>
            <w:color w:val="0000FF" w:themeColor="hyperlink"/>
            <w:u w:val="single"/>
          </w:rPr>
          <w:t>60-2121</w:t>
        </w:r>
      </w:fldSimple>
      <w:r>
        <w:rPr>
          <w:color w:val="000000"/>
        </w:rPr>
        <w:t xml:space="preserve">; 2008, Nr. </w:t>
      </w:r>
      <w:fldSimple w:instr="HYPERLINK https://www.e-tar.lt/portal/lt/legalAct/TAR.C297668F27C1 \t _blank">
        <w:r>
          <w:rPr>
            <w:color w:val="0000FF" w:themeColor="hyperlink"/>
            <w:u w:val="single"/>
          </w:rPr>
          <w:t>81-3186</w:t>
        </w:r>
      </w:fldSimple>
      <w:r>
        <w:rPr>
          <w:color w:val="000000"/>
        </w:rPr>
        <w:t xml:space="preserve">, Nr. </w:t>
      </w:r>
      <w:fldSimple w:instr="HYPERLINK https://www.e-tar.lt/portal/lt/legalAct/TAR.54A0C21F0C79 \t _blank">
        <w:r>
          <w:rPr>
            <w:color w:val="0000FF" w:themeColor="hyperlink"/>
            <w:u w:val="single"/>
          </w:rPr>
          <w:t>131-5023</w:t>
        </w:r>
      </w:fldSimple>
      <w:r>
        <w:rPr>
          <w:color w:val="000000"/>
        </w:rPr>
        <w:t xml:space="preserve">; 2009, Nr. </w:t>
      </w:r>
      <w:fldSimple w:instr="HYPERLINK https://www.e-tar.lt/portal/lt/legalAct/TAR.D27548E3B15F \t _blank">
        <w:r>
          <w:rPr>
            <w:color w:val="0000FF" w:themeColor="hyperlink"/>
            <w:u w:val="single"/>
          </w:rPr>
          <w:t>147-6559</w:t>
        </w:r>
      </w:fldSimple>
      <w:r>
        <w:rPr>
          <w:color w:val="000000"/>
        </w:rPr>
        <w:t>)</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45 straipsnio 4 ir 5 dalių pakeitimas</w:t>
      </w:r>
    </w:p>
    <w:p>
      <w:pPr>
        <w:widowControl w:val="0"/>
        <w:suppressAutoHyphens/>
        <w:ind w:firstLine="567"/>
        <w:jc w:val="both"/>
        <w:rPr>
          <w:color w:val="000000"/>
        </w:rPr>
      </w:pPr>
      <w:r>
        <w:rPr>
          <w:color w:val="000000"/>
        </w:rPr>
        <w:t>1</w:t>
      </w:r>
      <w:r>
        <w:rPr>
          <w:color w:val="000000"/>
        </w:rPr>
        <w:t>. 45 straipsnio 4 dalyje išbraukti žodžius „ar kitos jurisdikcijos teismo“ ir šią dalį išdėstyti taip:</w:t>
      </w:r>
    </w:p>
    <w:p>
      <w:pPr>
        <w:widowControl w:val="0"/>
        <w:suppressAutoHyphens/>
        <w:ind w:firstLine="567"/>
        <w:jc w:val="both"/>
        <w:rPr>
          <w:color w:val="000000"/>
        </w:rPr>
      </w:pPr>
      <w:r>
        <w:rPr>
          <w:color w:val="000000"/>
        </w:rPr>
        <w:t>„</w:t>
      </w:r>
      <w:r>
        <w:rPr>
          <w:color w:val="000000"/>
        </w:rPr>
        <w:t>4</w:t>
      </w:r>
      <w:r>
        <w:rPr>
          <w:color w:val="000000"/>
        </w:rPr>
        <w:t>. Teisėją skirti žemesnės pakopos teismo teisėju galima tik teisėjo sutikimu, išskyrus atvejus, kai žemesnės pakopos teismo teisėju asmuo skiriamas taikant drausminę atsakomybę.“</w:t>
      </w:r>
    </w:p>
    <w:p>
      <w:pPr>
        <w:widowControl w:val="0"/>
        <w:suppressAutoHyphens/>
        <w:ind w:firstLine="567"/>
        <w:jc w:val="both"/>
        <w:rPr>
          <w:color w:val="000000"/>
        </w:rPr>
      </w:pPr>
      <w:r>
        <w:rPr>
          <w:color w:val="000000"/>
        </w:rPr>
        <w:t>2</w:t>
      </w:r>
      <w:r>
        <w:rPr>
          <w:color w:val="000000"/>
        </w:rPr>
        <w:t>. Pakeisti 45 straipsnio 5 dalį ir ją išdėstyti taip:</w:t>
      </w:r>
    </w:p>
    <w:p>
      <w:pPr>
        <w:widowControl w:val="0"/>
        <w:suppressAutoHyphens/>
        <w:ind w:firstLine="567"/>
        <w:jc w:val="both"/>
        <w:rPr>
          <w:color w:val="000000"/>
        </w:rPr>
      </w:pPr>
      <w:r>
        <w:rPr>
          <w:color w:val="000000"/>
        </w:rPr>
        <w:t>„</w:t>
      </w:r>
      <w:r>
        <w:rPr>
          <w:color w:val="000000"/>
        </w:rPr>
        <w:t>5</w:t>
      </w:r>
      <w:r>
        <w:rPr>
          <w:color w:val="000000"/>
        </w:rPr>
        <w:t>. Teisėją perkelti į kitą tos pačios pakopos ar kitos jurisdikcijos teismą arba žemesnės pakopos teismą galima tik teisėjo sutikimu, išskyrus atvejus, numatytus šio Įstatymo 63 straipsnio 3, 5 ir 6 dalyse.“</w:t>
      </w:r>
    </w:p>
    <w:p>
      <w:pPr>
        <w:widowControl w:val="0"/>
        <w:suppressAutoHyphens/>
        <w:ind w:firstLine="567"/>
        <w:jc w:val="both"/>
        <w:rPr>
          <w:strike/>
          <w:color w:val="000000"/>
        </w:rPr>
      </w:pPr>
    </w:p>
    <w:p>
      <w:pPr>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55</w:t>
      </w:r>
      <w:r>
        <w:rPr>
          <w:b/>
          <w:bCs/>
          <w:color w:val="000000"/>
          <w:vertAlign w:val="superscript"/>
        </w:rPr>
        <w:t>1</w:t>
      </w:r>
      <w:r>
        <w:rPr>
          <w:b/>
          <w:bCs/>
          <w:color w:val="000000"/>
        </w:rPr>
        <w:t xml:space="preserve"> straipsnio 4 ir 5 dalių pakeitimas</w:t>
      </w:r>
    </w:p>
    <w:p>
      <w:pPr>
        <w:widowControl w:val="0"/>
        <w:suppressAutoHyphens/>
        <w:ind w:firstLine="567"/>
        <w:jc w:val="both"/>
        <w:rPr>
          <w:b/>
          <w:bCs/>
          <w:color w:val="000000"/>
        </w:rPr>
      </w:pPr>
      <w:r>
        <w:rPr>
          <w:color w:val="000000"/>
        </w:rPr>
        <w:t>1</w:t>
      </w:r>
      <w:r>
        <w:rPr>
          <w:color w:val="000000"/>
        </w:rPr>
        <w:t>. Pakeisti 55</w:t>
      </w:r>
      <w:r>
        <w:rPr>
          <w:color w:val="000000"/>
          <w:vertAlign w:val="superscript"/>
        </w:rPr>
        <w:t>1</w:t>
      </w:r>
      <w:r>
        <w:rPr>
          <w:color w:val="000000"/>
        </w:rPr>
        <w:t xml:space="preserve"> straipsnio 4 dalį ir ją išdėstyti taip:</w:t>
      </w:r>
    </w:p>
    <w:p>
      <w:pPr>
        <w:widowControl w:val="0"/>
        <w:suppressAutoHyphens/>
        <w:ind w:firstLine="567"/>
        <w:jc w:val="both"/>
        <w:rPr>
          <w:color w:val="000000"/>
        </w:rPr>
      </w:pPr>
      <w:r>
        <w:rPr>
          <w:color w:val="000000"/>
        </w:rPr>
        <w:t>„</w:t>
      </w:r>
      <w:r>
        <w:rPr>
          <w:color w:val="000000"/>
        </w:rPr>
        <w:t>4</w:t>
      </w:r>
      <w:r>
        <w:rPr>
          <w:color w:val="000000"/>
        </w:rPr>
        <w:t>. Į laisvas arba atsilaisvinsiančias apylinkės teismo teisėjų vietas atranka pradedama likus ne mažiau kaip 6 mėnesiams iki numatomos laisvos apylinkės teismo teisėjo vietos atsiradimo arba kai dėl nenumatytų aplinkybių atsiranda laisva apylinkės teismo teisėjo vieta. Atranka gali būti nepradedama, kai nuo paskutinės atrankos į to paties teismo teisėjo pareigas praėjo mažiau kaip 6 mėnesiai. Tokiu atveju atrankoje dalyvavęs asmuo šio Įstatymo nustatyta tvarka į to paties teismo teisėjo pareigas gali būti skiriamas vadovaujantis ankstesnėmis Atrankos komisijos išvadomis.“</w:t>
      </w:r>
    </w:p>
    <w:p>
      <w:pPr>
        <w:widowControl w:val="0"/>
        <w:suppressAutoHyphens/>
        <w:ind w:firstLine="567"/>
        <w:jc w:val="both"/>
        <w:rPr>
          <w:color w:val="000000"/>
        </w:rPr>
      </w:pPr>
      <w:r>
        <w:rPr>
          <w:color w:val="000000"/>
        </w:rPr>
        <w:t>2</w:t>
      </w:r>
      <w:r>
        <w:rPr>
          <w:color w:val="000000"/>
        </w:rPr>
        <w:t>. 55</w:t>
      </w:r>
      <w:r>
        <w:rPr>
          <w:color w:val="000000"/>
          <w:vertAlign w:val="superscript"/>
        </w:rPr>
        <w:t xml:space="preserve">1 </w:t>
      </w:r>
      <w:r>
        <w:rPr>
          <w:color w:val="000000"/>
        </w:rPr>
        <w:t>straipsnio 5 dalyje vietoj skaičiaus ir žodžio „63 straipsnyje“ įrašyti skaičius ir žodžius „63 straipsnio 1 dalyje“ ir šią dalį išdėstyti taip:</w:t>
      </w:r>
    </w:p>
    <w:p>
      <w:pPr>
        <w:widowControl w:val="0"/>
        <w:suppressAutoHyphens/>
        <w:ind w:firstLine="567"/>
        <w:jc w:val="both"/>
        <w:rPr>
          <w:color w:val="000000"/>
        </w:rPr>
      </w:pPr>
      <w:r>
        <w:rPr>
          <w:color w:val="000000"/>
        </w:rPr>
        <w:t>„</w:t>
      </w:r>
      <w:r>
        <w:rPr>
          <w:color w:val="000000"/>
        </w:rPr>
        <w:t>5</w:t>
      </w:r>
      <w:r>
        <w:rPr>
          <w:color w:val="000000"/>
        </w:rPr>
        <w:t>. Pirmenybę į laisvą arba atsilaisvinsiančią apylinkės teismo teisėjo vietą turi teisėjai, siekiantys būti paskirti į kitą teismą šio Įstatymo 64 straipsnyje nustatyta tvarka, arba buvę teisėjai, siekiantys būti paskirti šio Įstatymo 61 straipsnyje nustatyta tvarka. Jeigu tokių pretendentų nėra, atrankoje, vadovaujantis šio straipsnio 3 dalyje nurodyta skelbimo ir organizavimo tvarka, dalyvauja teisėjai, pageidaujantys būti perkelti į kitą teismą šio Įstatymo 63 straipsnio 1 dalyje nustatyta tvarka, ir pretendentai į teisėjus.“</w:t>
      </w:r>
    </w:p>
    <w:p>
      <w:pPr>
        <w:widowControl w:val="0"/>
        <w:suppressAutoHyphens/>
        <w:ind w:firstLine="567"/>
        <w:jc w:val="both"/>
        <w:rPr>
          <w:b/>
          <w:bCs/>
          <w:color w:val="000000"/>
        </w:rPr>
      </w:pPr>
    </w:p>
    <w:p>
      <w:pPr>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63 straipsnio pakeitimas</w:t>
      </w:r>
    </w:p>
    <w:p>
      <w:pPr>
        <w:widowControl w:val="0"/>
        <w:suppressAutoHyphens/>
        <w:ind w:firstLine="567"/>
        <w:jc w:val="both"/>
        <w:rPr>
          <w:color w:val="000000"/>
        </w:rPr>
      </w:pPr>
      <w:r>
        <w:rPr>
          <w:color w:val="000000"/>
        </w:rPr>
        <w:t>Pakeisti 63 straipsnį ir jį išdėstyti taip:</w:t>
      </w:r>
    </w:p>
    <w:p>
      <w:pPr>
        <w:widowControl w:val="0"/>
        <w:suppressAutoHyphens/>
        <w:ind w:firstLine="567"/>
        <w:jc w:val="both"/>
        <w:rPr>
          <w:color w:val="000000"/>
        </w:rPr>
      </w:pPr>
    </w:p>
    <w:p>
      <w:pPr>
        <w:widowControl w:val="0"/>
        <w:suppressAutoHyphens/>
        <w:ind w:left="2160" w:hanging="1593"/>
        <w:jc w:val="both"/>
        <w:rPr>
          <w:b/>
          <w:bCs/>
          <w:color w:val="000000"/>
        </w:rPr>
      </w:pPr>
      <w:r>
        <w:rPr>
          <w:color w:val="000000"/>
        </w:rPr>
        <w:t>„</w:t>
      </w:r>
      <w:r>
        <w:rPr>
          <w:b/>
          <w:bCs/>
          <w:color w:val="000000"/>
        </w:rPr>
        <w:t>63</w:t>
      </w:r>
      <w:r>
        <w:rPr>
          <w:b/>
          <w:bCs/>
          <w:color w:val="000000"/>
        </w:rPr>
        <w:t xml:space="preserve"> straipsnis. </w:t>
      </w:r>
      <w:r>
        <w:rPr>
          <w:b/>
          <w:bCs/>
          <w:color w:val="000000"/>
        </w:rPr>
        <w:t>Teisėjo perkėlimas į kitą tos pačios pakopos teismą arba į kitos jurisdikcijos tos pačios pakopos teismą</w:t>
      </w:r>
    </w:p>
    <w:p>
      <w:pPr>
        <w:widowControl w:val="0"/>
        <w:suppressAutoHyphens/>
        <w:ind w:firstLine="567"/>
        <w:jc w:val="both"/>
        <w:rPr>
          <w:color w:val="000000"/>
        </w:rPr>
      </w:pPr>
      <w:r>
        <w:rPr>
          <w:color w:val="000000"/>
        </w:rPr>
        <w:t>1</w:t>
      </w:r>
      <w:r>
        <w:rPr>
          <w:color w:val="000000"/>
        </w:rPr>
        <w:t>. Apylinkės teismo, apygardos administracinio teismo ar apygardos teismo teisėjas, praėjus ne mažiau kaip trejiems metams nuo paskyrimo į teisėjo pareigas, arba apylinkės teismo, apygardos administracinio teismo ar apygardos teismo pirmininkas, pasibaigus jo, kaip teismo pirmininko, įgaliojimų laikui, jo pageidavimu gali būti perkeltas teisėju į kitą tos pačios pakopos teismą arba į kitos jurisdikcijos tos pačios pakopos teismą.</w:t>
      </w:r>
    </w:p>
    <w:p>
      <w:pPr>
        <w:widowControl w:val="0"/>
        <w:suppressAutoHyphens/>
        <w:ind w:firstLine="567"/>
        <w:jc w:val="both"/>
        <w:rPr>
          <w:color w:val="000000"/>
        </w:rPr>
      </w:pPr>
      <w:r>
        <w:rPr>
          <w:color w:val="000000"/>
        </w:rPr>
        <w:t>2</w:t>
      </w:r>
      <w:r>
        <w:rPr>
          <w:color w:val="000000"/>
        </w:rPr>
        <w:t>. Sprendžiant teisėjo perkėlimo į kitą teismą klausimą, šio straipsnio 1 dalyje numatytais atvejais taikoma šio Įstatymo 55</w:t>
      </w:r>
      <w:r>
        <w:rPr>
          <w:color w:val="000000"/>
          <w:vertAlign w:val="superscript"/>
        </w:rPr>
        <w:t>1</w:t>
      </w:r>
      <w:r>
        <w:rPr>
          <w:color w:val="000000"/>
        </w:rPr>
        <w:t xml:space="preserve"> straipsnyje nustatyta atrankos tvarka.</w:t>
      </w:r>
    </w:p>
    <w:p>
      <w:pPr>
        <w:widowControl w:val="0"/>
        <w:suppressAutoHyphens/>
        <w:ind w:firstLine="567"/>
        <w:jc w:val="both"/>
        <w:rPr>
          <w:color w:val="000000"/>
        </w:rPr>
      </w:pPr>
      <w:r>
        <w:rPr>
          <w:color w:val="000000"/>
        </w:rPr>
        <w:t>3</w:t>
      </w:r>
      <w:r>
        <w:rPr>
          <w:color w:val="000000"/>
        </w:rPr>
        <w:t>. Kai pagal įstatymą teismai likviduojami arba reorganizuojami ir po teismų reorganizavimo sumažinamas reorganizavime dalyvavusio teismo teisėjų skaičius, šių teismų teisėjai perkeliami į kitus tos pačios pakopos teismus arba jų sutikimu paskiriami į žemesnės pakopos teismus. Teisėjai gali pareikšti pageidavimą būti perkeliami arba skiriami į atitinkamą teismą. Tais atvejais, kai į vieną teisėjo vietą pageidauja būti perkelti arba į žemesnės pakopos teismą paskirti du ar daugiau teisėjų, sprendžiant perkėlimo ar paskyrimo klausimą, taikoma šio Įstatymo 55</w:t>
      </w:r>
      <w:r>
        <w:rPr>
          <w:color w:val="000000"/>
          <w:vertAlign w:val="superscript"/>
        </w:rPr>
        <w:t>1</w:t>
      </w:r>
      <w:r>
        <w:rPr>
          <w:color w:val="000000"/>
        </w:rPr>
        <w:t xml:space="preserve"> straipsnyje nustatyta atrankos tvarka. Atrankoje dalyvauja tik tie teisėjai, kurie pareiškė pageidavimą dėl perkėlimo ar paskyrimo į atitinkamą teismą.</w:t>
      </w:r>
    </w:p>
    <w:p>
      <w:pPr>
        <w:widowControl w:val="0"/>
        <w:suppressAutoHyphens/>
        <w:ind w:firstLine="567"/>
        <w:jc w:val="both"/>
        <w:rPr>
          <w:color w:val="000000"/>
        </w:rPr>
      </w:pPr>
      <w:r>
        <w:rPr>
          <w:color w:val="000000"/>
        </w:rPr>
        <w:t>4</w:t>
      </w:r>
      <w:r>
        <w:rPr>
          <w:color w:val="000000"/>
        </w:rPr>
        <w:t>. Teisėjų tarybai konstatavus poreikį, apylinkės teismo, apygardos administracinio teismo ar apygardos teismo teisėjas jo sutikimu gali būti nuolat perkeltas teisėju</w:t>
      </w:r>
      <w:r>
        <w:rPr>
          <w:b/>
          <w:bCs/>
          <w:color w:val="000000"/>
        </w:rPr>
        <w:t xml:space="preserve"> </w:t>
      </w:r>
      <w:r>
        <w:rPr>
          <w:color w:val="000000"/>
        </w:rPr>
        <w:t>į kitą tos pačios pakopos arba į kitos jurisdikcijos tos pačios pakopos teismą. Jeigu šioje dalyje numatytu atveju į vieną teisėjo vietą pageidauja būti perkelti du ar daugiau teisėjų, sprendžiant perkėlimo klausimą, taikoma šio Įstatymo 55</w:t>
      </w:r>
      <w:r>
        <w:rPr>
          <w:color w:val="000000"/>
          <w:vertAlign w:val="superscript"/>
        </w:rPr>
        <w:t>1</w:t>
      </w:r>
      <w:r>
        <w:rPr>
          <w:color w:val="000000"/>
        </w:rPr>
        <w:t xml:space="preserve"> straipsnyje nustatyta atrankos tvarka. Atrankoje dalyvauja tik tie teisėjai, kurie pageidauja būti perkelti į kitą teismą šioje dalyje nustatyta tvarka.</w:t>
      </w:r>
    </w:p>
    <w:p>
      <w:pPr>
        <w:widowControl w:val="0"/>
        <w:suppressAutoHyphens/>
        <w:ind w:firstLine="567"/>
        <w:jc w:val="both"/>
        <w:rPr>
          <w:color w:val="000000"/>
        </w:rPr>
      </w:pPr>
      <w:r>
        <w:rPr>
          <w:color w:val="000000"/>
        </w:rPr>
        <w:t>5</w:t>
      </w:r>
      <w:r>
        <w:rPr>
          <w:color w:val="000000"/>
        </w:rPr>
        <w:t>. Teisėjų tarybai konstatavus esminį darbo krūvio skirtumą teismuose,</w:t>
      </w:r>
      <w:r>
        <w:rPr>
          <w:b/>
          <w:bCs/>
          <w:color w:val="000000"/>
        </w:rPr>
        <w:t xml:space="preserve"> </w:t>
      </w:r>
      <w:r>
        <w:rPr>
          <w:color w:val="000000"/>
        </w:rPr>
        <w:t>apylinkės teismo, apygardos administracinio teismo ar apygardos teismo teisėjas gali būti be jo sutikimo nuolat perkeltas</w:t>
      </w:r>
      <w:r>
        <w:rPr>
          <w:b/>
          <w:bCs/>
          <w:color w:val="000000"/>
        </w:rPr>
        <w:t xml:space="preserve"> </w:t>
      </w:r>
      <w:r>
        <w:rPr>
          <w:color w:val="000000"/>
        </w:rPr>
        <w:t>į kitą tos pačios</w:t>
      </w:r>
      <w:r>
        <w:rPr>
          <w:b/>
          <w:bCs/>
          <w:color w:val="000000"/>
        </w:rPr>
        <w:t xml:space="preserve"> </w:t>
      </w:r>
      <w:r>
        <w:rPr>
          <w:color w:val="000000"/>
        </w:rPr>
        <w:t>pakopos arba į kitos jurisdikcijos tos pačios pakopos teismą, esantį toje pačioje gyvenamojoje vietovėje, ir kai nė vienas teisėjas nesutinka būti perkeltas šio straipsnio 4 dalyje nustatyta tvarka. Tokiu atveju perkeliamas mažiausią teisėjo darbo stažą turintis teisėjas iš teismo, kuriame nustatytas mažiausias darbo krūvis.</w:t>
      </w:r>
    </w:p>
    <w:p>
      <w:pPr>
        <w:widowControl w:val="0"/>
        <w:suppressAutoHyphens/>
        <w:ind w:firstLine="567"/>
        <w:jc w:val="both"/>
        <w:rPr>
          <w:color w:val="000000"/>
        </w:rPr>
      </w:pPr>
      <w:r>
        <w:rPr>
          <w:color w:val="000000"/>
        </w:rPr>
        <w:t>6</w:t>
      </w:r>
      <w:r>
        <w:rPr>
          <w:color w:val="000000"/>
        </w:rPr>
        <w:t>. Teisėjo sutikimo nereikia, kai dėl laikino pobūdžio priežasčių (teisėjas serga, yra laisva teisėjo vieta, kai dėl kitų priežasčių teisėjas negali atlikti savo pareigų) prireikia teisėją laikinai perkelti į kitą teismą, kad būtų užtikrintas šio teismo funkcionavimas. Šioje dalyje nustatyta tvarka galima laikinai perkelti teisėją į kitą tos pačios pakopos teismą arba į kitos jurisdikcijos tos pačios pakopos teismą, apygardos teismo teisėją – į apylinkės teismą, Apeliacinio teismo teisėją – į apygardos teismą, Vyriausiojo administracinio teismo teisėją – į apygardos administracinį teismą, Aukščiausiojo Teismo teisėją – į Apeliacinį teismą. Taip perkeltam teisėjui mokamas ankstesnis atlyginimas. Šioje dalyje nustatyta tvarka perkelti teisėją galima ne ilgesniam kaip vienerių metų</w:t>
      </w:r>
      <w:r>
        <w:rPr>
          <w:b/>
          <w:bCs/>
          <w:color w:val="000000"/>
        </w:rPr>
        <w:t xml:space="preserve"> </w:t>
      </w:r>
      <w:r>
        <w:rPr>
          <w:color w:val="000000"/>
        </w:rPr>
        <w:t>laikotarpiui ir ne dažniau kaip kartą per trejus metus.</w:t>
      </w:r>
    </w:p>
    <w:p>
      <w:pPr>
        <w:widowControl w:val="0"/>
        <w:suppressAutoHyphens/>
        <w:ind w:firstLine="567"/>
        <w:jc w:val="both"/>
        <w:rPr>
          <w:color w:val="000000"/>
        </w:rPr>
      </w:pPr>
      <w:r>
        <w:rPr>
          <w:color w:val="000000"/>
        </w:rPr>
        <w:t>7</w:t>
      </w:r>
      <w:r>
        <w:rPr>
          <w:color w:val="000000"/>
        </w:rPr>
        <w:t>.</w:t>
      </w:r>
      <w:r>
        <w:rPr>
          <w:b/>
          <w:bCs/>
          <w:color w:val="000000"/>
        </w:rPr>
        <w:t xml:space="preserve"> </w:t>
      </w:r>
      <w:r>
        <w:rPr>
          <w:color w:val="000000"/>
        </w:rPr>
        <w:t>Šio straipsnio 5 ir 6 dalyse</w:t>
      </w:r>
      <w:r>
        <w:rPr>
          <w:b/>
          <w:bCs/>
          <w:color w:val="000000"/>
        </w:rPr>
        <w:t xml:space="preserve"> </w:t>
      </w:r>
      <w:r>
        <w:rPr>
          <w:color w:val="000000"/>
        </w:rPr>
        <w:t>numatytais atvejais teisėjas perkeliamas į kitą teismą Respublikos Prezidento dekretu netaikant šio Įstatymo 55</w:t>
      </w:r>
      <w:r>
        <w:rPr>
          <w:color w:val="000000"/>
          <w:vertAlign w:val="superscript"/>
        </w:rPr>
        <w:t>1</w:t>
      </w:r>
      <w:r>
        <w:rPr>
          <w:color w:val="000000"/>
        </w:rPr>
        <w:t xml:space="preserve"> straipsnyje nustatytos atrankos tvarkos.</w:t>
      </w:r>
    </w:p>
    <w:p>
      <w:pPr>
        <w:widowControl w:val="0"/>
        <w:suppressAutoHyphens/>
        <w:ind w:firstLine="567"/>
        <w:jc w:val="both"/>
        <w:rPr>
          <w:color w:val="000000"/>
        </w:rPr>
      </w:pPr>
      <w:r>
        <w:rPr>
          <w:color w:val="000000"/>
        </w:rPr>
        <w:t>8</w:t>
      </w:r>
      <w:r>
        <w:rPr>
          <w:color w:val="000000"/>
        </w:rPr>
        <w:t>.</w:t>
      </w:r>
      <w:r>
        <w:rPr>
          <w:b/>
          <w:bCs/>
          <w:color w:val="000000"/>
        </w:rPr>
        <w:t xml:space="preserve"> </w:t>
      </w:r>
      <w:r>
        <w:rPr>
          <w:color w:val="000000"/>
        </w:rPr>
        <w:t>Sprendžiant dėl teisėjo perkėlimo šio straipsnio 6</w:t>
      </w:r>
      <w:r>
        <w:rPr>
          <w:b/>
          <w:bCs/>
          <w:color w:val="000000"/>
        </w:rPr>
        <w:t xml:space="preserve"> </w:t>
      </w:r>
      <w:r>
        <w:rPr>
          <w:color w:val="000000"/>
        </w:rPr>
        <w:t>dalyje numatytais atvejais, įvertinamas perkeliamo teisėjo darbo stažas, specializacija, šeiminė padėtis, atstumas iki vietovės, kurios teritorijoje esančiame teisme yra laisva teisėjo vieta, teisėjo nuomonė ir argumentai dėl galimo perkėlimo, taip pat kitos esminės aplinkybės.</w:t>
      </w:r>
    </w:p>
    <w:p>
      <w:pPr>
        <w:widowControl w:val="0"/>
        <w:suppressAutoHyphens/>
        <w:ind w:firstLine="567"/>
        <w:jc w:val="both"/>
        <w:rPr>
          <w:color w:val="000000"/>
        </w:rPr>
      </w:pPr>
      <w:r>
        <w:rPr>
          <w:color w:val="000000"/>
        </w:rPr>
        <w:t>9</w:t>
      </w:r>
      <w:r>
        <w:rPr>
          <w:color w:val="000000"/>
        </w:rPr>
        <w:t>.</w:t>
      </w:r>
      <w:r>
        <w:rPr>
          <w:b/>
          <w:bCs/>
          <w:color w:val="000000"/>
        </w:rPr>
        <w:t xml:space="preserve"> </w:t>
      </w:r>
      <w:r>
        <w:rPr>
          <w:color w:val="000000"/>
        </w:rPr>
        <w:t>Dėl teisėjo perkėlimo Respublikos Prezidentui motyvuotai pataria Teisėjų taryba.</w:t>
      </w:r>
    </w:p>
    <w:p>
      <w:pPr>
        <w:widowControl w:val="0"/>
        <w:suppressAutoHyphens/>
        <w:ind w:firstLine="567"/>
        <w:jc w:val="both"/>
        <w:rPr>
          <w:color w:val="000000"/>
        </w:rPr>
      </w:pPr>
      <w:r>
        <w:rPr>
          <w:color w:val="000000"/>
        </w:rPr>
        <w:t>10</w:t>
      </w:r>
      <w:r>
        <w:rPr>
          <w:color w:val="000000"/>
        </w:rPr>
        <w:t>.</w:t>
      </w:r>
      <w:r>
        <w:rPr>
          <w:b/>
          <w:bCs/>
          <w:color w:val="000000"/>
        </w:rPr>
        <w:t xml:space="preserve"> </w:t>
      </w:r>
      <w:r>
        <w:rPr>
          <w:color w:val="000000"/>
        </w:rPr>
        <w:t>Teisėjas laikomas perkeltu į kitą teismą nuo Respublikos Prezidento dekreto dėl teisėjo perkėlimo įsigaliojimo dienos.“</w:t>
      </w:r>
    </w:p>
    <w:p>
      <w:pPr>
        <w:widowControl w:val="0"/>
        <w:suppressAutoHyphens/>
        <w:ind w:firstLine="567"/>
        <w:jc w:val="both"/>
        <w:rPr>
          <w:color w:val="000000"/>
        </w:rPr>
      </w:pPr>
    </w:p>
    <w:p>
      <w:pPr>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101 straipsnio 3 ir 4 dalių pakeitimas</w:t>
      </w:r>
    </w:p>
    <w:p>
      <w:pPr>
        <w:widowControl w:val="0"/>
        <w:suppressAutoHyphens/>
        <w:ind w:firstLine="567"/>
        <w:jc w:val="both"/>
        <w:rPr>
          <w:color w:val="000000"/>
        </w:rPr>
      </w:pPr>
      <w:r>
        <w:rPr>
          <w:color w:val="000000"/>
        </w:rPr>
        <w:t>1</w:t>
      </w:r>
      <w:r>
        <w:rPr>
          <w:color w:val="000000"/>
        </w:rPr>
        <w:t>. 101 straipsnio 3 dalyje vietoj žodžių ir skaičių „45 straipsnio 5 dalyje“ įrašyti žodžius ir skaičius „63 straipsnio 3 dalyje“ ir šią dalį išdėstyti taip:</w:t>
      </w:r>
    </w:p>
    <w:p>
      <w:pPr>
        <w:widowControl w:val="0"/>
        <w:suppressAutoHyphens/>
        <w:ind w:firstLine="567"/>
        <w:jc w:val="both"/>
        <w:rPr>
          <w:b/>
          <w:bCs/>
          <w:color w:val="000000"/>
        </w:rPr>
      </w:pPr>
      <w:r>
        <w:rPr>
          <w:color w:val="000000"/>
        </w:rPr>
        <w:t>„</w:t>
      </w:r>
      <w:r>
        <w:rPr>
          <w:color w:val="000000"/>
        </w:rPr>
        <w:t>3</w:t>
      </w:r>
      <w:r>
        <w:rPr>
          <w:color w:val="000000"/>
        </w:rPr>
        <w:t>. Teisėjui, paskirtam žemesnės pakopos teismo teisėju šio Įstatymo 63 straipsnio 3 dalyje numatytu atveju, tris mėnesius mokamas ankstesnis atlyginimas.“</w:t>
      </w:r>
    </w:p>
    <w:p>
      <w:pPr>
        <w:widowControl w:val="0"/>
        <w:suppressAutoHyphens/>
        <w:ind w:firstLine="567"/>
        <w:jc w:val="both"/>
        <w:rPr>
          <w:color w:val="000000"/>
        </w:rPr>
      </w:pPr>
      <w:r>
        <w:rPr>
          <w:color w:val="000000"/>
        </w:rPr>
        <w:t>2</w:t>
      </w:r>
      <w:r>
        <w:rPr>
          <w:color w:val="000000"/>
        </w:rPr>
        <w:t>. 101</w:t>
      </w:r>
      <w:r>
        <w:rPr>
          <w:color w:val="000000"/>
          <w:vertAlign w:val="superscript"/>
        </w:rPr>
        <w:t xml:space="preserve"> </w:t>
      </w:r>
      <w:r>
        <w:rPr>
          <w:color w:val="000000"/>
        </w:rPr>
        <w:t>straipsnio 4 dalyje išbraukti žodžius „tos pačios pakopos“, vietoj skaičiaus „4“ įrašyti skaičių „6“ ir šią dalį išdėstyti taip:</w:t>
      </w:r>
    </w:p>
    <w:p>
      <w:pPr>
        <w:widowControl w:val="0"/>
        <w:suppressAutoHyphens/>
        <w:ind w:firstLine="567"/>
        <w:jc w:val="both"/>
        <w:rPr>
          <w:color w:val="000000"/>
        </w:rPr>
      </w:pPr>
      <w:r>
        <w:rPr>
          <w:color w:val="000000"/>
        </w:rPr>
        <w:t>„</w:t>
      </w:r>
      <w:r>
        <w:rPr>
          <w:color w:val="000000"/>
        </w:rPr>
        <w:t>4</w:t>
      </w:r>
      <w:r>
        <w:rPr>
          <w:color w:val="000000"/>
        </w:rPr>
        <w:t>. Teisėjui, perkeltam į kitą teismą šio Įstatymo 63 straipsnio 6 dalyje numatytu atveju, Vyriausybės nustatyta tvarka kompensuojamos su perkėlimu susijusios išlaidos.“</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D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6241</Characters>
  <Application>Microsoft Office Word</Application>
  <DocSecurity>4</DocSecurity>
  <Lines>109</Lines>
  <Paragraphs>42</Paragraphs>
  <ScaleCrop>false</ScaleCrop>
  <Company/>
  <LinksUpToDate>false</LinksUpToDate>
  <CharactersWithSpaces>7195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2015-07-01T18:31:00Z</dcterms:created>
  <dc:creator>Rima</dc:creator>
  <lastModifiedBy>Adlib User</lastModifiedBy>
  <dcterms:modified xsi:type="dcterms:W3CDTF">2015-07-01T18:31:00Z</dcterms:modified>
  <revision>2</revision>
  <dc:title>LIETUVOS RESPUBLIKOS TEISMŲ ĮSTATYMO 45, 551, 63 IR 101 STRAIPSNIŲ PAKEITIMO ĮSTATYMAS</dc:title>
</coreProperties>
</file>