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C743F" w14:textId="77777777" w:rsidR="00B47383" w:rsidRDefault="0013625C">
      <w:pPr>
        <w:widowControl w:val="0"/>
        <w:jc w:val="center"/>
        <w:rPr>
          <w:color w:val="000000"/>
          <w:szCs w:val="24"/>
          <w:lang w:eastAsia="lt-LT"/>
        </w:rPr>
      </w:pPr>
      <w:r>
        <w:rPr>
          <w:caps/>
          <w:color w:val="000000"/>
          <w:szCs w:val="24"/>
          <w:lang w:eastAsia="lt-LT"/>
        </w:rPr>
        <w:t>v</w:t>
      </w:r>
      <w:r>
        <w:rPr>
          <w:color w:val="000000"/>
          <w:szCs w:val="24"/>
          <w:lang w:eastAsia="lt-LT"/>
        </w:rPr>
        <w:t>ALSTYBINĖS KAINŲ IR ENERGETIKOS KONTROLĖS KOMISIJOS</w:t>
      </w:r>
    </w:p>
    <w:p w14:paraId="476C7440" w14:textId="77777777" w:rsidR="00B47383" w:rsidRDefault="0013625C">
      <w:pPr>
        <w:widowControl w:val="0"/>
        <w:jc w:val="center"/>
        <w:rPr>
          <w:b/>
          <w:bCs/>
          <w:color w:val="000000"/>
          <w:szCs w:val="24"/>
          <w:lang w:eastAsia="lt-LT"/>
        </w:rPr>
      </w:pPr>
      <w:r>
        <w:rPr>
          <w:caps/>
          <w:color w:val="000000"/>
          <w:szCs w:val="24"/>
          <w:lang w:eastAsia="lt-LT"/>
        </w:rPr>
        <w:t>N U T A R I M A S</w:t>
      </w:r>
    </w:p>
    <w:p w14:paraId="476C7441" w14:textId="77777777" w:rsidR="00B47383" w:rsidRDefault="00B47383">
      <w:pPr>
        <w:widowControl w:val="0"/>
        <w:ind w:firstLine="567"/>
        <w:jc w:val="both"/>
        <w:rPr>
          <w:b/>
          <w:bCs/>
          <w:color w:val="000000"/>
          <w:szCs w:val="24"/>
          <w:lang w:eastAsia="lt-LT"/>
        </w:rPr>
      </w:pPr>
    </w:p>
    <w:p w14:paraId="476C7442" w14:textId="77777777" w:rsidR="00B47383" w:rsidRDefault="0013625C">
      <w:pPr>
        <w:widowControl w:val="0"/>
        <w:jc w:val="center"/>
        <w:rPr>
          <w:b/>
          <w:bCs/>
          <w:caps/>
          <w:color w:val="000000"/>
          <w:szCs w:val="24"/>
          <w:lang w:eastAsia="lt-LT"/>
        </w:rPr>
      </w:pPr>
      <w:r>
        <w:rPr>
          <w:b/>
          <w:bCs/>
          <w:caps/>
          <w:color w:val="000000"/>
          <w:szCs w:val="24"/>
          <w:lang w:eastAsia="lt-LT"/>
        </w:rPr>
        <w:t>DĖL VALSTYBINĖS KAINŲ IR ENERGETIKOS KONTROLĖS KOMISIJOS 2011 m. LIEPOS 8 d. NUTARIMO Nr. O3-175 „DĖL ELEKTROS ENERGIJOS RINKOS KAINOS NUSTATYMO METODIKOS PATVIRTINIMO“ PAKEITIMO</w:t>
      </w:r>
    </w:p>
    <w:p w14:paraId="476C7443" w14:textId="77777777" w:rsidR="00B47383" w:rsidRDefault="00B47383">
      <w:pPr>
        <w:widowControl w:val="0"/>
        <w:ind w:firstLine="567"/>
        <w:jc w:val="both"/>
        <w:rPr>
          <w:color w:val="000000"/>
          <w:szCs w:val="24"/>
          <w:lang w:eastAsia="lt-LT"/>
        </w:rPr>
      </w:pPr>
    </w:p>
    <w:p w14:paraId="476C7444" w14:textId="77777777" w:rsidR="00B47383" w:rsidRDefault="0013625C">
      <w:pPr>
        <w:widowControl w:val="0"/>
        <w:jc w:val="center"/>
        <w:rPr>
          <w:color w:val="000000"/>
          <w:szCs w:val="24"/>
          <w:lang w:eastAsia="lt-LT"/>
        </w:rPr>
      </w:pPr>
      <w:r>
        <w:rPr>
          <w:color w:val="000000"/>
          <w:szCs w:val="24"/>
          <w:lang w:eastAsia="lt-LT"/>
        </w:rPr>
        <w:t>2013 m. liepos 18 d. Nr. O3-323</w:t>
      </w:r>
    </w:p>
    <w:p w14:paraId="476C7445" w14:textId="77777777" w:rsidR="00B47383" w:rsidRDefault="0013625C">
      <w:pPr>
        <w:widowControl w:val="0"/>
        <w:jc w:val="center"/>
        <w:rPr>
          <w:color w:val="000000"/>
          <w:szCs w:val="24"/>
          <w:lang w:eastAsia="lt-LT"/>
        </w:rPr>
      </w:pPr>
      <w:r>
        <w:rPr>
          <w:color w:val="000000"/>
          <w:szCs w:val="24"/>
          <w:lang w:eastAsia="lt-LT"/>
        </w:rPr>
        <w:t>Vilnius</w:t>
      </w:r>
    </w:p>
    <w:p w14:paraId="476C7446" w14:textId="77777777" w:rsidR="00B47383" w:rsidRDefault="00B47383">
      <w:pPr>
        <w:widowControl w:val="0"/>
        <w:ind w:firstLine="567"/>
        <w:jc w:val="both"/>
        <w:rPr>
          <w:color w:val="000000"/>
          <w:szCs w:val="24"/>
          <w:lang w:eastAsia="lt-LT"/>
        </w:rPr>
      </w:pPr>
    </w:p>
    <w:p w14:paraId="476C7447" w14:textId="77777777" w:rsidR="00B47383" w:rsidRDefault="0013625C">
      <w:pPr>
        <w:widowControl w:val="0"/>
        <w:ind w:firstLine="567"/>
        <w:jc w:val="both"/>
        <w:rPr>
          <w:color w:val="000000"/>
          <w:szCs w:val="24"/>
          <w:lang w:eastAsia="lt-LT"/>
        </w:rPr>
      </w:pPr>
      <w:r>
        <w:rPr>
          <w:color w:val="000000"/>
          <w:spacing w:val="-2"/>
          <w:szCs w:val="24"/>
          <w:lang w:eastAsia="lt-LT"/>
        </w:rPr>
        <w:t>Vadovaudamasi Lietuvos Respublikos energetikos įstatymo (Žin., 2002, Nr. </w:t>
      </w:r>
      <w:hyperlink r:id="rId6" w:tgtFrame="_blank" w:history="1">
        <w:r>
          <w:rPr>
            <w:color w:val="0000FF" w:themeColor="hyperlink"/>
            <w:spacing w:val="-2"/>
            <w:szCs w:val="24"/>
            <w:u w:val="single"/>
            <w:lang w:eastAsia="lt-LT"/>
          </w:rPr>
          <w:t>56-2224</w:t>
        </w:r>
      </w:hyperlink>
      <w:r>
        <w:rPr>
          <w:color w:val="000000"/>
          <w:spacing w:val="-2"/>
          <w:szCs w:val="24"/>
          <w:lang w:eastAsia="lt-LT"/>
        </w:rPr>
        <w:t>; 2011, Nr. </w:t>
      </w:r>
      <w:hyperlink r:id="rId7" w:tgtFrame="_blank" w:history="1">
        <w:r>
          <w:rPr>
            <w:color w:val="0000FF" w:themeColor="hyperlink"/>
            <w:spacing w:val="-2"/>
            <w:szCs w:val="24"/>
            <w:u w:val="single"/>
            <w:lang w:eastAsia="lt-LT"/>
          </w:rPr>
          <w:t>160-7576</w:t>
        </w:r>
      </w:hyperlink>
      <w:r>
        <w:rPr>
          <w:color w:val="000000"/>
          <w:spacing w:val="-2"/>
          <w:szCs w:val="24"/>
          <w:lang w:eastAsia="lt-LT"/>
        </w:rPr>
        <w:t>) 8 straipsnio 9 dalies 2 punktu, Lietuvos Respublikos energijos išteklių rinkos įstatymo (Žin., 2012, Nr. </w:t>
      </w:r>
      <w:hyperlink r:id="rId8" w:tgtFrame="_blank" w:history="1">
        <w:r>
          <w:rPr>
            <w:color w:val="0000FF" w:themeColor="hyperlink"/>
            <w:spacing w:val="-2"/>
            <w:szCs w:val="24"/>
            <w:u w:val="single"/>
            <w:lang w:eastAsia="lt-LT"/>
          </w:rPr>
          <w:t>63-3164</w:t>
        </w:r>
      </w:hyperlink>
      <w:r>
        <w:rPr>
          <w:color w:val="000000"/>
          <w:spacing w:val="-2"/>
          <w:szCs w:val="24"/>
          <w:lang w:eastAsia="lt-LT"/>
        </w:rPr>
        <w:t>) 10 straipsnio 2 dalimi, Lietuvos Respublikos atsinaujinančių išteklių energetikos įstatymo (Žin., 2011, Nr. </w:t>
      </w:r>
      <w:hyperlink r:id="rId9" w:tgtFrame="_blank" w:history="1">
        <w:r>
          <w:rPr>
            <w:color w:val="0000FF" w:themeColor="hyperlink"/>
            <w:spacing w:val="-2"/>
            <w:szCs w:val="24"/>
            <w:u w:val="single"/>
            <w:lang w:eastAsia="lt-LT"/>
          </w:rPr>
          <w:t>62-2936</w:t>
        </w:r>
      </w:hyperlink>
      <w:r>
        <w:rPr>
          <w:color w:val="000000"/>
          <w:spacing w:val="-2"/>
          <w:szCs w:val="24"/>
          <w:lang w:eastAsia="lt-LT"/>
        </w:rPr>
        <w:t>; 2013, Nr. </w:t>
      </w:r>
      <w:hyperlink r:id="rId10" w:tgtFrame="_blank" w:history="1">
        <w:r>
          <w:rPr>
            <w:color w:val="0000FF" w:themeColor="hyperlink"/>
            <w:spacing w:val="-2"/>
            <w:szCs w:val="24"/>
            <w:u w:val="single"/>
            <w:lang w:eastAsia="lt-LT"/>
          </w:rPr>
          <w:t>12-560</w:t>
        </w:r>
      </w:hyperlink>
      <w:r>
        <w:rPr>
          <w:color w:val="000000"/>
          <w:spacing w:val="-2"/>
          <w:szCs w:val="24"/>
          <w:lang w:eastAsia="lt-LT"/>
        </w:rPr>
        <w:t>) 20 straipsnio 2 dalimi ir atsižvelgdama į 2011 m. spalio 25 d.</w:t>
      </w:r>
      <w:r>
        <w:rPr>
          <w:b/>
          <w:bCs/>
          <w:color w:val="000000"/>
          <w:spacing w:val="-2"/>
          <w:szCs w:val="24"/>
          <w:lang w:eastAsia="lt-LT"/>
        </w:rPr>
        <w:t xml:space="preserve"> </w:t>
      </w:r>
      <w:r>
        <w:rPr>
          <w:color w:val="000000"/>
          <w:spacing w:val="-2"/>
          <w:szCs w:val="24"/>
          <w:lang w:eastAsia="lt-LT"/>
        </w:rPr>
        <w:t xml:space="preserve">Europos Parlamento ir Tarybos reglamento (ES) Nr. 1227/2011 dėl didmeninės energijos rinkos vientisumo ir skaidrumo (OL 2011, L 326, p. 1) (toliau – Reglamentas) 7 straipsnio 2 dalį ir 13 straipsnį bei Valstybinės kainų ir energetikos kontrolės komisijos (toliau – Komisija) Dujų ir elektros departamento Elektros skyriaus 2013 m. </w:t>
      </w:r>
      <w:r>
        <w:rPr>
          <w:color w:val="000000"/>
          <w:spacing w:val="-4"/>
          <w:szCs w:val="24"/>
          <w:lang w:eastAsia="lt-LT"/>
        </w:rPr>
        <w:t>liepos 11 d. pažymą Nr. O5-256 „Dėl Valstybinės kainų ir energetikos kontrolės komisijos 2011 m. liepos 8 d. nutarimo Nr. O3-175</w:t>
      </w:r>
      <w:r>
        <w:rPr>
          <w:color w:val="000000"/>
          <w:spacing w:val="-2"/>
          <w:szCs w:val="24"/>
          <w:lang w:eastAsia="lt-LT"/>
        </w:rPr>
        <w:t xml:space="preserve"> „Dėl elektros energijos rinkos kainos nustatymo metodikos patvirtinimo“ pakeitimo“, Komisija</w:t>
      </w:r>
      <w:r>
        <w:rPr>
          <w:color w:val="000000"/>
          <w:szCs w:val="24"/>
          <w:lang w:eastAsia="lt-LT"/>
        </w:rPr>
        <w:t xml:space="preserve"> n u t a r i a:</w:t>
      </w:r>
    </w:p>
    <w:p w14:paraId="476C7449" w14:textId="0720D62C" w:rsidR="00B47383" w:rsidRDefault="0013625C">
      <w:pPr>
        <w:widowControl w:val="0"/>
        <w:ind w:firstLine="567"/>
        <w:jc w:val="both"/>
        <w:rPr>
          <w:caps/>
          <w:color w:val="000000"/>
          <w:szCs w:val="24"/>
          <w:lang w:eastAsia="lt-LT"/>
        </w:rPr>
      </w:pPr>
      <w:r>
        <w:rPr>
          <w:color w:val="000000"/>
          <w:spacing w:val="-4"/>
          <w:szCs w:val="24"/>
          <w:lang w:eastAsia="lt-LT"/>
        </w:rPr>
        <w:t>Pakeisti Elektros energijos rinkos kainos nustatymo metodiką, patvirtintą Komisijos 2011 m. liepos 8 d. nutarimu Nr. O3-175</w:t>
      </w:r>
      <w:r>
        <w:rPr>
          <w:color w:val="000000"/>
          <w:szCs w:val="24"/>
          <w:lang w:eastAsia="lt-LT"/>
        </w:rPr>
        <w:t xml:space="preserve"> (Žin., 2011, Nr. </w:t>
      </w:r>
      <w:hyperlink r:id="rId11" w:tgtFrame="_blank" w:history="1">
        <w:r>
          <w:rPr>
            <w:color w:val="0000FF" w:themeColor="hyperlink"/>
            <w:szCs w:val="24"/>
            <w:u w:val="single"/>
            <w:lang w:eastAsia="lt-LT"/>
          </w:rPr>
          <w:t>89-4304</w:t>
        </w:r>
      </w:hyperlink>
      <w:r>
        <w:rPr>
          <w:color w:val="000000"/>
          <w:szCs w:val="24"/>
          <w:lang w:eastAsia="lt-LT"/>
        </w:rPr>
        <w:t>; 2012, Nr. </w:t>
      </w:r>
      <w:hyperlink r:id="rId12" w:tgtFrame="_blank" w:history="1">
        <w:r>
          <w:rPr>
            <w:color w:val="0000FF" w:themeColor="hyperlink"/>
            <w:szCs w:val="24"/>
            <w:u w:val="single"/>
            <w:lang w:eastAsia="lt-LT"/>
          </w:rPr>
          <w:t>67-3461</w:t>
        </w:r>
      </w:hyperlink>
      <w:r>
        <w:rPr>
          <w:color w:val="000000"/>
          <w:szCs w:val="24"/>
          <w:lang w:eastAsia="lt-LT"/>
        </w:rPr>
        <w:t>), ir išdėstyti ją nauja redakcija (pridedama).</w:t>
      </w:r>
    </w:p>
    <w:p w14:paraId="11C501AC" w14:textId="71A0C4B4" w:rsidR="0013625C" w:rsidRDefault="0013625C">
      <w:pPr>
        <w:widowControl w:val="0"/>
        <w:tabs>
          <w:tab w:val="right" w:pos="9071"/>
        </w:tabs>
      </w:pPr>
    </w:p>
    <w:p w14:paraId="51F413E4" w14:textId="77777777" w:rsidR="0013625C" w:rsidRDefault="0013625C">
      <w:pPr>
        <w:widowControl w:val="0"/>
        <w:tabs>
          <w:tab w:val="right" w:pos="9071"/>
        </w:tabs>
      </w:pPr>
    </w:p>
    <w:p w14:paraId="476C744A" w14:textId="4DDDD2FD" w:rsidR="00B47383" w:rsidRDefault="0013625C">
      <w:pPr>
        <w:widowControl w:val="0"/>
        <w:tabs>
          <w:tab w:val="right" w:pos="9071"/>
        </w:tabs>
        <w:rPr>
          <w:caps/>
          <w:color w:val="000000"/>
          <w:szCs w:val="24"/>
          <w:lang w:eastAsia="lt-LT"/>
        </w:rPr>
      </w:pPr>
      <w:r>
        <w:rPr>
          <w:caps/>
          <w:color w:val="000000"/>
          <w:szCs w:val="24"/>
          <w:lang w:eastAsia="lt-LT"/>
        </w:rPr>
        <w:t>Komisijos pirmininkė</w:t>
      </w:r>
      <w:r>
        <w:rPr>
          <w:caps/>
          <w:color w:val="000000"/>
          <w:szCs w:val="24"/>
          <w:lang w:eastAsia="lt-LT"/>
        </w:rPr>
        <w:tab/>
        <w:t>Diana Korsakaitė</w:t>
      </w:r>
    </w:p>
    <w:p w14:paraId="476C744D" w14:textId="75B23B33" w:rsidR="00B47383" w:rsidRDefault="00DF1280">
      <w:pPr>
        <w:widowControl w:val="0"/>
        <w:ind w:firstLine="567"/>
        <w:jc w:val="both"/>
        <w:rPr>
          <w:color w:val="000000"/>
          <w:szCs w:val="24"/>
          <w:lang w:eastAsia="lt-LT"/>
        </w:rPr>
      </w:pPr>
    </w:p>
    <w:p w14:paraId="0361EF59" w14:textId="77777777" w:rsidR="0013625C" w:rsidRDefault="0013625C">
      <w:pPr>
        <w:ind w:left="4535"/>
      </w:pPr>
    </w:p>
    <w:p w14:paraId="17BBFDF6" w14:textId="77777777" w:rsidR="0013625C" w:rsidRDefault="0013625C">
      <w:r>
        <w:br w:type="page"/>
      </w:r>
    </w:p>
    <w:p w14:paraId="476C744E" w14:textId="5F27DFA7" w:rsidR="00B47383" w:rsidRDefault="0013625C">
      <w:pPr>
        <w:ind w:left="4535"/>
        <w:rPr>
          <w:szCs w:val="24"/>
          <w:lang w:eastAsia="lt-LT"/>
        </w:rPr>
      </w:pPr>
      <w:r>
        <w:rPr>
          <w:szCs w:val="24"/>
          <w:lang w:eastAsia="lt-LT"/>
        </w:rPr>
        <w:lastRenderedPageBreak/>
        <w:t>PATVIRTINTA</w:t>
      </w:r>
    </w:p>
    <w:p w14:paraId="476C744F" w14:textId="77777777" w:rsidR="00B47383" w:rsidRDefault="0013625C">
      <w:pPr>
        <w:ind w:left="4535"/>
        <w:rPr>
          <w:szCs w:val="24"/>
          <w:lang w:eastAsia="lt-LT"/>
        </w:rPr>
      </w:pPr>
      <w:r>
        <w:rPr>
          <w:szCs w:val="24"/>
          <w:lang w:eastAsia="lt-LT"/>
        </w:rPr>
        <w:t xml:space="preserve">Valstybinės kainų ir energetikos kontrolės komisijos </w:t>
      </w:r>
    </w:p>
    <w:p w14:paraId="476C7450" w14:textId="77777777" w:rsidR="00B47383" w:rsidRDefault="0013625C">
      <w:pPr>
        <w:ind w:left="4535"/>
        <w:rPr>
          <w:szCs w:val="24"/>
          <w:lang w:eastAsia="lt-LT"/>
        </w:rPr>
      </w:pPr>
      <w:r>
        <w:rPr>
          <w:szCs w:val="24"/>
          <w:lang w:eastAsia="lt-LT"/>
        </w:rPr>
        <w:t>2013 m. liepos 18 d. nutarimu Nr. O3-323</w:t>
      </w:r>
    </w:p>
    <w:p w14:paraId="476C7451" w14:textId="77777777" w:rsidR="00B47383" w:rsidRDefault="00B47383">
      <w:pPr>
        <w:jc w:val="center"/>
        <w:rPr>
          <w:szCs w:val="24"/>
          <w:lang w:eastAsia="lt-LT"/>
        </w:rPr>
      </w:pPr>
    </w:p>
    <w:p w14:paraId="476C7452" w14:textId="77777777" w:rsidR="00B47383" w:rsidRDefault="00DF1280">
      <w:pPr>
        <w:jc w:val="center"/>
        <w:rPr>
          <w:b/>
          <w:szCs w:val="24"/>
          <w:lang w:eastAsia="lt-LT"/>
        </w:rPr>
      </w:pPr>
      <w:r w:rsidR="0013625C">
        <w:rPr>
          <w:b/>
          <w:szCs w:val="24"/>
          <w:lang w:eastAsia="lt-LT"/>
        </w:rPr>
        <w:t>ELEKTROS ENERGIJOS RINKOS KAINOS NUSTATYMO METODIKA</w:t>
      </w:r>
    </w:p>
    <w:p w14:paraId="476C7453" w14:textId="77777777" w:rsidR="00B47383" w:rsidRDefault="00B47383">
      <w:pPr>
        <w:jc w:val="center"/>
        <w:rPr>
          <w:szCs w:val="24"/>
          <w:lang w:eastAsia="lt-LT"/>
        </w:rPr>
      </w:pPr>
    </w:p>
    <w:p w14:paraId="476C7454" w14:textId="77777777" w:rsidR="00B47383" w:rsidRDefault="00DF1280">
      <w:pPr>
        <w:jc w:val="center"/>
        <w:rPr>
          <w:b/>
          <w:szCs w:val="24"/>
          <w:lang w:eastAsia="lt-LT"/>
        </w:rPr>
      </w:pPr>
      <w:r w:rsidR="0013625C">
        <w:rPr>
          <w:b/>
          <w:szCs w:val="24"/>
          <w:lang w:eastAsia="lt-LT"/>
        </w:rPr>
        <w:t>I</w:t>
      </w:r>
      <w:r w:rsidR="0013625C">
        <w:rPr>
          <w:b/>
          <w:szCs w:val="24"/>
          <w:lang w:eastAsia="lt-LT"/>
        </w:rPr>
        <w:t xml:space="preserve">. </w:t>
      </w:r>
      <w:r w:rsidR="0013625C">
        <w:rPr>
          <w:b/>
          <w:szCs w:val="24"/>
          <w:lang w:eastAsia="lt-LT"/>
        </w:rPr>
        <w:t>BENDROSIOS NUOSTATOS</w:t>
      </w:r>
    </w:p>
    <w:p w14:paraId="476C7455" w14:textId="77777777" w:rsidR="00B47383" w:rsidRDefault="00B47383">
      <w:pPr>
        <w:tabs>
          <w:tab w:val="left" w:pos="475"/>
        </w:tabs>
        <w:ind w:firstLine="567"/>
        <w:jc w:val="both"/>
        <w:rPr>
          <w:szCs w:val="24"/>
          <w:lang w:eastAsia="lt-LT"/>
        </w:rPr>
      </w:pPr>
    </w:p>
    <w:p w14:paraId="476C7456" w14:textId="77777777" w:rsidR="00B47383" w:rsidRDefault="00DF1280">
      <w:pPr>
        <w:tabs>
          <w:tab w:val="left" w:pos="475"/>
        </w:tabs>
        <w:ind w:firstLine="567"/>
        <w:jc w:val="both"/>
        <w:rPr>
          <w:szCs w:val="24"/>
          <w:lang w:eastAsia="lt-LT"/>
        </w:rPr>
      </w:pPr>
      <w:r w:rsidR="0013625C">
        <w:rPr>
          <w:szCs w:val="24"/>
          <w:lang w:eastAsia="lt-LT"/>
        </w:rPr>
        <w:t>1</w:t>
      </w:r>
      <w:r w:rsidR="0013625C">
        <w:rPr>
          <w:szCs w:val="24"/>
          <w:lang w:eastAsia="lt-LT"/>
        </w:rPr>
        <w:t>. Elektros energijos rinkos kainos nustatymo metodika (toliau – Metodika) reglamentuoja elektros energijos rinkos kainos nustatymo tvarką.</w:t>
      </w:r>
    </w:p>
    <w:p w14:paraId="476C7457" w14:textId="77777777" w:rsidR="00B47383" w:rsidRDefault="00DF1280">
      <w:pPr>
        <w:tabs>
          <w:tab w:val="left" w:pos="475"/>
        </w:tabs>
        <w:ind w:firstLine="567"/>
        <w:jc w:val="both"/>
        <w:rPr>
          <w:szCs w:val="24"/>
          <w:lang w:eastAsia="lt-LT"/>
        </w:rPr>
      </w:pPr>
      <w:r w:rsidR="0013625C">
        <w:rPr>
          <w:szCs w:val="24"/>
          <w:lang w:eastAsia="lt-LT"/>
        </w:rPr>
        <w:t>2</w:t>
      </w:r>
      <w:r w:rsidR="0013625C">
        <w:rPr>
          <w:szCs w:val="24"/>
          <w:lang w:eastAsia="lt-LT"/>
        </w:rPr>
        <w:t>. Metodikos tikslas – nustatyti skaidrius, aiškius ir objektyvius principus elektros energijos rinkos kainai, atitinkančiai Lietuvos Respublikos elektros energetikos sektoriaus ekonomines sąlygas.</w:t>
      </w:r>
    </w:p>
    <w:p w14:paraId="476C7458" w14:textId="77777777" w:rsidR="00B47383" w:rsidRDefault="00DF1280">
      <w:pPr>
        <w:tabs>
          <w:tab w:val="left" w:pos="475"/>
        </w:tabs>
        <w:ind w:firstLine="567"/>
        <w:jc w:val="both"/>
        <w:rPr>
          <w:szCs w:val="24"/>
          <w:lang w:eastAsia="lt-LT"/>
        </w:rPr>
      </w:pPr>
      <w:r w:rsidR="0013625C">
        <w:rPr>
          <w:szCs w:val="24"/>
          <w:lang w:eastAsia="lt-LT"/>
        </w:rPr>
        <w:t>3</w:t>
      </w:r>
      <w:r w:rsidR="0013625C">
        <w:rPr>
          <w:szCs w:val="24"/>
          <w:lang w:eastAsia="lt-LT"/>
        </w:rPr>
        <w:t xml:space="preserve">. Metodika parengta vadovaujantis Lietuvos Respublikos energetikos įstatymo (Žin., 2002, Nr. </w:t>
      </w:r>
      <w:hyperlink r:id="rId13" w:tgtFrame="_blank" w:history="1">
        <w:r w:rsidR="0013625C">
          <w:rPr>
            <w:color w:val="0000FF" w:themeColor="hyperlink"/>
            <w:szCs w:val="24"/>
            <w:u w:val="single"/>
            <w:lang w:eastAsia="lt-LT"/>
          </w:rPr>
          <w:t>56-2224</w:t>
        </w:r>
      </w:hyperlink>
      <w:r w:rsidR="0013625C">
        <w:rPr>
          <w:szCs w:val="24"/>
          <w:lang w:eastAsia="lt-LT"/>
        </w:rPr>
        <w:t xml:space="preserve">; 2011, Nr. </w:t>
      </w:r>
      <w:hyperlink r:id="rId14" w:tgtFrame="_blank" w:history="1">
        <w:r w:rsidR="0013625C">
          <w:rPr>
            <w:color w:val="0000FF" w:themeColor="hyperlink"/>
            <w:szCs w:val="24"/>
            <w:u w:val="single"/>
            <w:lang w:eastAsia="lt-LT"/>
          </w:rPr>
          <w:t>160-7576</w:t>
        </w:r>
      </w:hyperlink>
      <w:r w:rsidR="0013625C">
        <w:rPr>
          <w:szCs w:val="24"/>
          <w:lang w:eastAsia="lt-LT"/>
        </w:rPr>
        <w:t xml:space="preserve">) 8 straipsnio 9 dalies 2 punktu, Lietuvos Respublikos atsinaujinančių išteklių energetikos įstatymo (Žin., 2011, Nr. </w:t>
      </w:r>
      <w:hyperlink r:id="rId15" w:tgtFrame="_blank" w:history="1">
        <w:r w:rsidR="0013625C">
          <w:rPr>
            <w:color w:val="0000FF" w:themeColor="hyperlink"/>
            <w:szCs w:val="24"/>
            <w:u w:val="single"/>
            <w:lang w:eastAsia="lt-LT"/>
          </w:rPr>
          <w:t>62-2936</w:t>
        </w:r>
      </w:hyperlink>
      <w:r w:rsidR="0013625C">
        <w:rPr>
          <w:szCs w:val="24"/>
          <w:lang w:eastAsia="lt-LT"/>
        </w:rPr>
        <w:t xml:space="preserve">; 2013, Nr. </w:t>
      </w:r>
      <w:hyperlink r:id="rId16" w:tgtFrame="_blank" w:history="1">
        <w:r w:rsidR="0013625C">
          <w:rPr>
            <w:color w:val="0000FF" w:themeColor="hyperlink"/>
            <w:szCs w:val="24"/>
            <w:u w:val="single"/>
            <w:lang w:eastAsia="lt-LT"/>
          </w:rPr>
          <w:t>12-560</w:t>
        </w:r>
      </w:hyperlink>
      <w:r w:rsidR="0013625C">
        <w:rPr>
          <w:szCs w:val="24"/>
          <w:lang w:eastAsia="lt-LT"/>
        </w:rPr>
        <w:t xml:space="preserve">) 20 straipsnio 2 dalimi, Lietuvos Respublikos energijos išteklių rinkos įstatymo (Žin., 2012, Nr. </w:t>
      </w:r>
      <w:hyperlink r:id="rId17" w:tgtFrame="_blank" w:history="1">
        <w:r w:rsidR="0013625C">
          <w:rPr>
            <w:color w:val="0000FF" w:themeColor="hyperlink"/>
            <w:szCs w:val="24"/>
            <w:u w:val="single"/>
            <w:lang w:eastAsia="lt-LT"/>
          </w:rPr>
          <w:t>63-3164</w:t>
        </w:r>
      </w:hyperlink>
      <w:r w:rsidR="0013625C">
        <w:rPr>
          <w:szCs w:val="24"/>
          <w:lang w:eastAsia="lt-LT"/>
        </w:rPr>
        <w:t xml:space="preserve">) 10 straipsnio 2 dalimi ir atsižvelgiant į </w:t>
      </w:r>
      <w:r w:rsidR="0013625C">
        <w:rPr>
          <w:rFonts w:eastAsia="Calibri"/>
          <w:szCs w:val="24"/>
          <w:lang w:eastAsia="lt-LT"/>
        </w:rPr>
        <w:t>2011 m. spalio 25 d.</w:t>
      </w:r>
      <w:r w:rsidR="0013625C">
        <w:rPr>
          <w:rFonts w:eastAsia="Calibri"/>
          <w:b/>
          <w:szCs w:val="24"/>
          <w:lang w:eastAsia="lt-LT"/>
        </w:rPr>
        <w:t xml:space="preserve"> </w:t>
      </w:r>
      <w:r w:rsidR="0013625C">
        <w:rPr>
          <w:bCs/>
          <w:szCs w:val="24"/>
          <w:lang w:eastAsia="lt-LT"/>
        </w:rPr>
        <w:t>Europos Parlamento ir Tarybos reglamento (ES) Nr. 1227/2011 dėl didmeninės energijos rinkos vientisumo ir skaidrumo (OL 2011, L 326, p. 1) (toliau – Reglamentas) 7 straipsnio</w:t>
      </w:r>
      <w:r w:rsidR="0013625C">
        <w:rPr>
          <w:szCs w:val="24"/>
          <w:lang w:eastAsia="lt-LT"/>
        </w:rPr>
        <w:t xml:space="preserve"> 2 dalį ir 13 straipsnį.</w:t>
      </w:r>
    </w:p>
    <w:p w14:paraId="476C7459" w14:textId="77777777" w:rsidR="00B47383" w:rsidRDefault="00DF1280">
      <w:pPr>
        <w:tabs>
          <w:tab w:val="left" w:pos="475"/>
        </w:tabs>
        <w:ind w:firstLine="567"/>
        <w:jc w:val="both"/>
        <w:rPr>
          <w:szCs w:val="24"/>
          <w:lang w:eastAsia="lt-LT"/>
        </w:rPr>
      </w:pPr>
      <w:r w:rsidR="0013625C">
        <w:rPr>
          <w:szCs w:val="24"/>
          <w:lang w:eastAsia="lt-LT"/>
        </w:rPr>
        <w:t>4</w:t>
      </w:r>
      <w:r w:rsidR="0013625C">
        <w:rPr>
          <w:szCs w:val="24"/>
          <w:lang w:eastAsia="lt-LT"/>
        </w:rPr>
        <w:t>. Valstybinė kainų ir energetikos kontrolės komisija (toliau – Komisija), vadovaudamasi Metodika, nustato elektros energijos rinkos kainą ateinantiems kalendoriniams metams ir praėjusio mėnesio vidutinę elektros energijos rinkos kainą.</w:t>
      </w:r>
    </w:p>
    <w:p w14:paraId="476C745A" w14:textId="77777777" w:rsidR="00B47383" w:rsidRDefault="00DF1280">
      <w:pPr>
        <w:tabs>
          <w:tab w:val="left" w:pos="475"/>
        </w:tabs>
        <w:ind w:firstLine="567"/>
        <w:jc w:val="both"/>
        <w:rPr>
          <w:szCs w:val="24"/>
          <w:lang w:eastAsia="lt-LT"/>
        </w:rPr>
      </w:pPr>
      <w:r w:rsidR="0013625C">
        <w:rPr>
          <w:szCs w:val="24"/>
          <w:lang w:eastAsia="lt-LT"/>
        </w:rPr>
        <w:t>5</w:t>
      </w:r>
      <w:r w:rsidR="0013625C">
        <w:rPr>
          <w:szCs w:val="24"/>
          <w:lang w:eastAsia="lt-LT"/>
        </w:rPr>
        <w:t>. Metodikoje vartojamos šios sąvokos:</w:t>
      </w:r>
    </w:p>
    <w:p w14:paraId="476C745B" w14:textId="77777777" w:rsidR="00B47383" w:rsidRDefault="0013625C">
      <w:pPr>
        <w:ind w:firstLine="567"/>
        <w:jc w:val="both"/>
        <w:rPr>
          <w:color w:val="000000"/>
          <w:szCs w:val="24"/>
          <w:lang w:eastAsia="lt-LT"/>
        </w:rPr>
      </w:pPr>
      <w:r>
        <w:rPr>
          <w:b/>
          <w:szCs w:val="24"/>
          <w:lang w:eastAsia="lt-LT"/>
        </w:rPr>
        <w:t xml:space="preserve">Galimai apsimestiniai sandoriai </w:t>
      </w:r>
      <w:r>
        <w:rPr>
          <w:szCs w:val="24"/>
          <w:lang w:eastAsia="lt-LT"/>
        </w:rPr>
        <w:t xml:space="preserve">– </w:t>
      </w:r>
      <w:r>
        <w:rPr>
          <w:color w:val="000000"/>
          <w:szCs w:val="24"/>
          <w:lang w:eastAsia="lt-LT"/>
        </w:rPr>
        <w:t>sandoriai, fiksuojami energijos biržose, apie kuriuos Komisijai informaciją ir pagrindžiančius įrodymus dėl rinkos dalyvio galimo siekio daryti įtaką energijos išteklių kainos pokyčiams pateikė energijos išteklių biržos ir (ar) elektros energijos rinkos operatorius ir dvišaliai, ne per biržą sudaromi sandoriai, kurių atžvilgiu Komisija yra pradėjusi tyrimą.</w:t>
      </w:r>
    </w:p>
    <w:p w14:paraId="476C745C" w14:textId="77777777" w:rsidR="00B47383" w:rsidRDefault="0013625C">
      <w:pPr>
        <w:tabs>
          <w:tab w:val="left" w:pos="475"/>
        </w:tabs>
        <w:ind w:firstLine="567"/>
        <w:jc w:val="both"/>
        <w:rPr>
          <w:color w:val="000000"/>
          <w:szCs w:val="24"/>
          <w:lang w:eastAsia="lt-LT"/>
        </w:rPr>
      </w:pPr>
      <w:r>
        <w:rPr>
          <w:b/>
          <w:szCs w:val="24"/>
          <w:lang w:eastAsia="lt-LT"/>
        </w:rPr>
        <w:t>Apsimestiniai sandoriai</w:t>
      </w:r>
      <w:r>
        <w:rPr>
          <w:szCs w:val="24"/>
          <w:lang w:eastAsia="lt-LT"/>
        </w:rPr>
        <w:t xml:space="preserve"> – </w:t>
      </w:r>
      <w:r>
        <w:rPr>
          <w:color w:val="000000"/>
          <w:szCs w:val="24"/>
          <w:lang w:eastAsia="lt-LT"/>
        </w:rPr>
        <w:t>energijos biržoje ar dvišalių sandorių pagrindu sudaromi pasiūlymai pirkti ar parduoti energijos išteklius, kai energijos išteklių biržos dalyviai siekia ne įsigyti ar realizuoti energijos išteklius, o prisidengę tokiais pasiūlymais siekia daryti tikslingą įtaką energijos išteklių rinkos kainos pokyčiams (kainos didėjimui ar mažėjimui) ar kitaip gali iškreipti energijos rinkos sąlygas.</w:t>
      </w:r>
    </w:p>
    <w:p w14:paraId="476C745D" w14:textId="77777777" w:rsidR="00B47383" w:rsidRDefault="00DF1280">
      <w:pPr>
        <w:tabs>
          <w:tab w:val="left" w:pos="475"/>
        </w:tabs>
        <w:ind w:firstLine="567"/>
        <w:jc w:val="both"/>
        <w:rPr>
          <w:szCs w:val="24"/>
          <w:lang w:eastAsia="lt-LT"/>
        </w:rPr>
      </w:pPr>
      <w:r w:rsidR="0013625C">
        <w:rPr>
          <w:szCs w:val="24"/>
          <w:lang w:eastAsia="lt-LT"/>
        </w:rPr>
        <w:t>6</w:t>
      </w:r>
      <w:r w:rsidR="0013625C">
        <w:rPr>
          <w:szCs w:val="24"/>
          <w:lang w:eastAsia="lt-LT"/>
        </w:rPr>
        <w:t xml:space="preserve">. Kitos Metodikoje vartojamos sąvokos suprantamos taip, kaip jos apibrėžtos Lietuvos Respublikos elektros energetikos įstatyme (Žin., 2000, Nr. </w:t>
      </w:r>
      <w:hyperlink r:id="rId18" w:tgtFrame="_blank" w:history="1">
        <w:r w:rsidR="0013625C">
          <w:rPr>
            <w:color w:val="0000FF" w:themeColor="hyperlink"/>
            <w:szCs w:val="24"/>
            <w:u w:val="single"/>
            <w:lang w:eastAsia="lt-LT"/>
          </w:rPr>
          <w:t>66-1984</w:t>
        </w:r>
      </w:hyperlink>
      <w:r w:rsidR="0013625C">
        <w:rPr>
          <w:szCs w:val="24"/>
          <w:lang w:eastAsia="lt-LT"/>
        </w:rPr>
        <w:t xml:space="preserve">; 2012, Nr. </w:t>
      </w:r>
      <w:hyperlink r:id="rId19" w:tgtFrame="_blank" w:history="1">
        <w:r w:rsidR="0013625C">
          <w:rPr>
            <w:color w:val="0000FF" w:themeColor="hyperlink"/>
            <w:szCs w:val="24"/>
            <w:u w:val="single"/>
            <w:lang w:eastAsia="lt-LT"/>
          </w:rPr>
          <w:t>17-752</w:t>
        </w:r>
      </w:hyperlink>
      <w:r w:rsidR="0013625C">
        <w:rPr>
          <w:szCs w:val="24"/>
          <w:lang w:eastAsia="lt-LT"/>
        </w:rPr>
        <w:t xml:space="preserve">), Lietuvos Respublikos atsinaujinančių išteklių energetikos įstatyme ir Lietuvos Respublikos išteklių rinkos įstatyme (Žin., 2012, Nr. </w:t>
      </w:r>
      <w:hyperlink r:id="rId20" w:tgtFrame="_blank" w:history="1">
        <w:r w:rsidR="0013625C">
          <w:rPr>
            <w:color w:val="0000FF" w:themeColor="hyperlink"/>
            <w:szCs w:val="24"/>
            <w:u w:val="single"/>
            <w:lang w:eastAsia="lt-LT"/>
          </w:rPr>
          <w:t>63-3164</w:t>
        </w:r>
      </w:hyperlink>
      <w:r w:rsidR="0013625C">
        <w:rPr>
          <w:szCs w:val="24"/>
          <w:lang w:eastAsia="lt-LT"/>
        </w:rPr>
        <w:t>).</w:t>
      </w:r>
    </w:p>
    <w:p w14:paraId="476C745E" w14:textId="77777777" w:rsidR="00B47383" w:rsidRDefault="00DF1280">
      <w:pPr>
        <w:tabs>
          <w:tab w:val="left" w:pos="475"/>
        </w:tabs>
        <w:ind w:firstLine="567"/>
        <w:jc w:val="both"/>
        <w:rPr>
          <w:szCs w:val="24"/>
          <w:lang w:eastAsia="lt-LT"/>
        </w:rPr>
      </w:pPr>
    </w:p>
    <w:p w14:paraId="476C745F" w14:textId="77777777" w:rsidR="00B47383" w:rsidRDefault="00DF1280">
      <w:pPr>
        <w:jc w:val="center"/>
        <w:rPr>
          <w:b/>
          <w:szCs w:val="24"/>
          <w:lang w:eastAsia="lt-LT"/>
        </w:rPr>
      </w:pPr>
      <w:r w:rsidR="0013625C">
        <w:rPr>
          <w:b/>
          <w:szCs w:val="24"/>
          <w:lang w:eastAsia="lt-LT"/>
        </w:rPr>
        <w:t>II</w:t>
      </w:r>
      <w:r w:rsidR="0013625C">
        <w:rPr>
          <w:b/>
          <w:szCs w:val="24"/>
          <w:lang w:eastAsia="lt-LT"/>
        </w:rPr>
        <w:t xml:space="preserve">. </w:t>
      </w:r>
      <w:r w:rsidR="0013625C">
        <w:rPr>
          <w:b/>
          <w:szCs w:val="24"/>
          <w:lang w:eastAsia="lt-LT"/>
        </w:rPr>
        <w:t>ELEKTROS ENERGIJOS RINKOS KAINOS ATEINANTIEMS KALENDORINIAMS METAMS NUSTATYMO TVARKA</w:t>
      </w:r>
    </w:p>
    <w:p w14:paraId="476C7460" w14:textId="77777777" w:rsidR="00B47383" w:rsidRDefault="00B47383">
      <w:pPr>
        <w:tabs>
          <w:tab w:val="left" w:pos="485"/>
        </w:tabs>
        <w:ind w:firstLine="567"/>
        <w:jc w:val="both"/>
        <w:rPr>
          <w:szCs w:val="24"/>
          <w:lang w:eastAsia="lt-LT"/>
        </w:rPr>
      </w:pPr>
    </w:p>
    <w:p w14:paraId="476C7461" w14:textId="77777777" w:rsidR="00B47383" w:rsidRDefault="00DF1280">
      <w:pPr>
        <w:tabs>
          <w:tab w:val="left" w:pos="485"/>
        </w:tabs>
        <w:ind w:firstLine="567"/>
        <w:jc w:val="both"/>
        <w:rPr>
          <w:szCs w:val="24"/>
          <w:lang w:eastAsia="lt-LT"/>
        </w:rPr>
      </w:pPr>
      <w:r w:rsidR="0013625C">
        <w:rPr>
          <w:szCs w:val="24"/>
          <w:lang w:eastAsia="lt-LT"/>
        </w:rPr>
        <w:t>7</w:t>
      </w:r>
      <w:r w:rsidR="0013625C">
        <w:rPr>
          <w:szCs w:val="24"/>
          <w:lang w:eastAsia="lt-LT"/>
        </w:rPr>
        <w:t>. Komisija nustato elektros energijos rinkos kainą ateinantiems kalendoriniams metams kaip svertinį vidurkį įvertinusi:</w:t>
      </w:r>
    </w:p>
    <w:p w14:paraId="476C7462" w14:textId="77777777" w:rsidR="00B47383" w:rsidRDefault="00DF1280">
      <w:pPr>
        <w:tabs>
          <w:tab w:val="left" w:pos="614"/>
        </w:tabs>
        <w:ind w:firstLine="567"/>
        <w:jc w:val="both"/>
        <w:rPr>
          <w:szCs w:val="24"/>
          <w:lang w:eastAsia="lt-LT"/>
        </w:rPr>
      </w:pPr>
      <w:r w:rsidR="0013625C">
        <w:rPr>
          <w:szCs w:val="24"/>
          <w:lang w:eastAsia="lt-LT"/>
        </w:rPr>
        <w:t>7.1</w:t>
      </w:r>
      <w:r w:rsidR="0013625C">
        <w:rPr>
          <w:szCs w:val="24"/>
          <w:lang w:eastAsia="lt-LT"/>
        </w:rPr>
        <w:t xml:space="preserve">. elektros energijos kainas ir kiekius, suprekiautus elektros energijos biržoje Lietuvos teritorijoje „diena – prieš“ prekybos sesijoje, nevertinant Metodikos 7.3 punkte nurodytu būdu suprekiautų kiekių CET (angl. </w:t>
      </w:r>
      <w:r w:rsidR="0013625C">
        <w:rPr>
          <w:i/>
          <w:szCs w:val="24"/>
          <w:lang w:eastAsia="lt-LT"/>
        </w:rPr>
        <w:t>Central Europe Time</w:t>
      </w:r>
      <w:r w:rsidR="0013625C">
        <w:rPr>
          <w:szCs w:val="24"/>
          <w:lang w:eastAsia="lt-LT"/>
        </w:rPr>
        <w:t>) laiku už 12 paskutinių kalendorinių mėnesių, pasibaigusių einamųjų kalendorinių metų liepos 1 d.;</w:t>
      </w:r>
    </w:p>
    <w:p w14:paraId="476C7463" w14:textId="77777777" w:rsidR="00B47383" w:rsidRDefault="00DF1280">
      <w:pPr>
        <w:tabs>
          <w:tab w:val="left" w:pos="614"/>
        </w:tabs>
        <w:ind w:firstLine="567"/>
        <w:jc w:val="both"/>
        <w:rPr>
          <w:szCs w:val="24"/>
          <w:lang w:eastAsia="lt-LT"/>
        </w:rPr>
      </w:pPr>
      <w:r w:rsidR="0013625C">
        <w:rPr>
          <w:szCs w:val="24"/>
          <w:lang w:eastAsia="lt-LT"/>
        </w:rPr>
        <w:t>7.2</w:t>
      </w:r>
      <w:r w:rsidR="0013625C">
        <w:rPr>
          <w:szCs w:val="24"/>
          <w:lang w:eastAsia="lt-LT"/>
        </w:rPr>
        <w:t xml:space="preserve">. elektros energijos kainas ir kiekius, suprekiautus didmeninėje elektros energijos rinkoje pagal šalia elektros energijos biržos sudarytas tiesiogines dvišales sutartis tarp </w:t>
      </w:r>
      <w:r w:rsidR="0013625C">
        <w:rPr>
          <w:szCs w:val="24"/>
          <w:lang w:eastAsia="lt-LT"/>
        </w:rPr>
        <w:lastRenderedPageBreak/>
        <w:t>Lietuvos gamintojų ir tiekėjų už 12 paskutinių kalendorinių mėnesių, pasibaigusių einamųjų kalendorinių metų liepos 1 d.;</w:t>
      </w:r>
    </w:p>
    <w:p w14:paraId="476C7464" w14:textId="77777777" w:rsidR="00B47383" w:rsidRDefault="00DF1280">
      <w:pPr>
        <w:tabs>
          <w:tab w:val="left" w:pos="614"/>
        </w:tabs>
        <w:ind w:firstLine="567"/>
        <w:jc w:val="both"/>
        <w:rPr>
          <w:szCs w:val="24"/>
          <w:lang w:eastAsia="lt-LT"/>
        </w:rPr>
      </w:pPr>
      <w:r w:rsidR="0013625C">
        <w:rPr>
          <w:szCs w:val="24"/>
          <w:lang w:eastAsia="lt-LT"/>
        </w:rPr>
        <w:t>7.3</w:t>
      </w:r>
      <w:r w:rsidR="0013625C">
        <w:rPr>
          <w:szCs w:val="24"/>
          <w:lang w:eastAsia="lt-LT"/>
        </w:rPr>
        <w:t>. elektros energijos kainas ir kiekius, suprekiautus pagal prekybą pagalbiniais instrumentais energijos išteklių biržoje ir dvišalio susitarimo pagrindu Lietuvos teritorijoje už 12 paskutinių kalendorinių mėnesių, pasibaigusių einamųjų kalendorinių metų liepos 1 d.</w:t>
      </w:r>
    </w:p>
    <w:p w14:paraId="476C7465" w14:textId="77777777" w:rsidR="00B47383" w:rsidRDefault="00DF1280">
      <w:pPr>
        <w:tabs>
          <w:tab w:val="left" w:pos="614"/>
        </w:tabs>
        <w:ind w:firstLine="567"/>
        <w:jc w:val="both"/>
        <w:rPr>
          <w:szCs w:val="24"/>
          <w:lang w:eastAsia="lt-LT"/>
        </w:rPr>
      </w:pPr>
      <w:r w:rsidR="0013625C">
        <w:rPr>
          <w:szCs w:val="24"/>
          <w:lang w:eastAsia="lt-LT"/>
        </w:rPr>
        <w:t>8</w:t>
      </w:r>
      <w:r w:rsidR="0013625C">
        <w:rPr>
          <w:szCs w:val="24"/>
          <w:lang w:eastAsia="lt-LT"/>
        </w:rPr>
        <w:t>. Komisija, nustatydama elektros energijos rinkos kainą ateinantiems kalendoriniams metams, nevertina:</w:t>
      </w:r>
    </w:p>
    <w:p w14:paraId="476C7466" w14:textId="77777777" w:rsidR="00B47383" w:rsidRDefault="00DF1280">
      <w:pPr>
        <w:tabs>
          <w:tab w:val="left" w:pos="614"/>
        </w:tabs>
        <w:ind w:firstLine="567"/>
        <w:jc w:val="both"/>
        <w:rPr>
          <w:szCs w:val="24"/>
          <w:lang w:eastAsia="lt-LT"/>
        </w:rPr>
      </w:pPr>
      <w:r w:rsidR="0013625C">
        <w:rPr>
          <w:szCs w:val="24"/>
          <w:lang w:eastAsia="lt-LT"/>
        </w:rPr>
        <w:t>8.1</w:t>
      </w:r>
      <w:r w:rsidR="0013625C">
        <w:rPr>
          <w:szCs w:val="24"/>
          <w:lang w:eastAsia="lt-LT"/>
        </w:rPr>
        <w:t>. remtinos elektros energijos gamybos kiekių, suprekiautų dvišalėmis sutartimis už Komisijos nustatytą rinkos kainą;</w:t>
      </w:r>
    </w:p>
    <w:p w14:paraId="476C7467" w14:textId="77777777" w:rsidR="00B47383" w:rsidRDefault="00DF1280">
      <w:pPr>
        <w:tabs>
          <w:tab w:val="left" w:pos="614"/>
        </w:tabs>
        <w:ind w:firstLine="567"/>
        <w:jc w:val="both"/>
        <w:rPr>
          <w:szCs w:val="24"/>
          <w:lang w:eastAsia="lt-LT"/>
        </w:rPr>
      </w:pPr>
      <w:r w:rsidR="0013625C">
        <w:rPr>
          <w:szCs w:val="24"/>
          <w:lang w:eastAsia="lt-LT"/>
        </w:rPr>
        <w:t>8.2</w:t>
      </w:r>
      <w:r w:rsidR="0013625C">
        <w:rPr>
          <w:szCs w:val="24"/>
          <w:lang w:eastAsia="lt-LT"/>
        </w:rPr>
        <w:t>. dvišalėmis sutartimis suprekiautų balansavimo ir reguliavimo energijos kiekių ir kainų;</w:t>
      </w:r>
    </w:p>
    <w:p w14:paraId="476C7468" w14:textId="77777777" w:rsidR="00B47383" w:rsidRDefault="00DF1280">
      <w:pPr>
        <w:tabs>
          <w:tab w:val="left" w:pos="614"/>
        </w:tabs>
        <w:ind w:firstLine="567"/>
        <w:jc w:val="both"/>
        <w:rPr>
          <w:szCs w:val="24"/>
          <w:lang w:eastAsia="lt-LT"/>
        </w:rPr>
      </w:pPr>
      <w:r w:rsidR="0013625C">
        <w:rPr>
          <w:szCs w:val="24"/>
          <w:lang w:eastAsia="lt-LT"/>
        </w:rPr>
        <w:t>8.3</w:t>
      </w:r>
      <w:r w:rsidR="0013625C">
        <w:rPr>
          <w:szCs w:val="24"/>
          <w:lang w:eastAsia="lt-LT"/>
        </w:rPr>
        <w:t>. Apsimestiniais ir Galimai apsimestiniais sandoriais suprekiautų pagalbinių instrumentų ir elektros energijos kiekių ir kainų;</w:t>
      </w:r>
    </w:p>
    <w:p w14:paraId="476C7469" w14:textId="77777777" w:rsidR="00B47383" w:rsidRDefault="00DF1280">
      <w:pPr>
        <w:tabs>
          <w:tab w:val="left" w:pos="614"/>
        </w:tabs>
        <w:ind w:firstLine="567"/>
        <w:jc w:val="both"/>
        <w:rPr>
          <w:szCs w:val="24"/>
          <w:lang w:eastAsia="lt-LT"/>
        </w:rPr>
      </w:pPr>
      <w:r w:rsidR="0013625C">
        <w:rPr>
          <w:szCs w:val="24"/>
          <w:lang w:eastAsia="lt-LT"/>
        </w:rPr>
        <w:t>8.4</w:t>
      </w:r>
      <w:r w:rsidR="0013625C">
        <w:rPr>
          <w:szCs w:val="24"/>
          <w:lang w:eastAsia="lt-LT"/>
        </w:rPr>
        <w:t>. suprekiautų reguliavimo energijos kiekių ir kainų.</w:t>
      </w:r>
    </w:p>
    <w:p w14:paraId="476C746A" w14:textId="77777777" w:rsidR="00B47383" w:rsidRDefault="00DF1280">
      <w:pPr>
        <w:tabs>
          <w:tab w:val="left" w:pos="614"/>
        </w:tabs>
        <w:ind w:firstLine="567"/>
        <w:jc w:val="both"/>
        <w:rPr>
          <w:szCs w:val="24"/>
          <w:lang w:eastAsia="lt-LT"/>
        </w:rPr>
      </w:pPr>
    </w:p>
    <w:p w14:paraId="476C746B" w14:textId="77777777" w:rsidR="00B47383" w:rsidRDefault="00DF1280">
      <w:pPr>
        <w:tabs>
          <w:tab w:val="left" w:pos="725"/>
        </w:tabs>
        <w:ind w:firstLine="567"/>
        <w:jc w:val="both"/>
        <w:rPr>
          <w:szCs w:val="24"/>
          <w:lang w:eastAsia="lt-LT"/>
        </w:rPr>
      </w:pPr>
      <w:r w:rsidR="0013625C">
        <w:rPr>
          <w:szCs w:val="24"/>
          <w:lang w:eastAsia="lt-LT"/>
        </w:rPr>
        <w:t>9</w:t>
      </w:r>
      <w:r w:rsidR="0013625C">
        <w:rPr>
          <w:szCs w:val="24"/>
          <w:lang w:eastAsia="lt-LT"/>
        </w:rPr>
        <w:t xml:space="preserve">. Rinkos kaina skaičiuojama: </w:t>
      </w:r>
    </w:p>
    <w:p w14:paraId="476C746C" w14:textId="77777777" w:rsidR="00B47383" w:rsidRDefault="00B47383">
      <w:pPr>
        <w:tabs>
          <w:tab w:val="left" w:pos="614"/>
        </w:tabs>
        <w:ind w:firstLine="567"/>
        <w:jc w:val="both"/>
        <w:rPr>
          <w:szCs w:val="24"/>
          <w:lang w:eastAsia="lt-LT"/>
        </w:rPr>
      </w:pPr>
    </w:p>
    <w:p w14:paraId="496903D9" w14:textId="156E6C24" w:rsidR="00F150C8" w:rsidRDefault="00DF1280">
      <w:pPr>
        <w:tabs>
          <w:tab w:val="left" w:pos="725"/>
        </w:tabs>
        <w:ind w:firstLine="567"/>
        <w:jc w:val="both"/>
        <w:rPr>
          <w:i/>
          <w:szCs w:val="24"/>
          <w:lang w:eastAsia="lt-LT"/>
        </w:rPr>
      </w:pPr>
      <w:r>
        <w:rPr>
          <w:position w:val="-50"/>
          <w:szCs w:val="24"/>
          <w:lang w:eastAsia="lt-LT"/>
        </w:rPr>
        <w:object w:dxaOrig="6120" w:dyaOrig="1245" w14:anchorId="71A9A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62.25pt" o:ole="">
            <v:imagedata r:id="rId21" o:title=""/>
          </v:shape>
          <o:OLEObject Type="Embed" ProgID="Equation.3" ShapeID="_x0000_i1025" DrawAspect="Content" ObjectID="_1524999494" r:id="rId22"/>
        </w:object>
      </w:r>
    </w:p>
    <w:p w14:paraId="476C746F" w14:textId="5CC56D21" w:rsidR="00B47383" w:rsidRDefault="0013625C">
      <w:pPr>
        <w:tabs>
          <w:tab w:val="left" w:pos="725"/>
        </w:tabs>
        <w:ind w:firstLine="567"/>
        <w:jc w:val="both"/>
        <w:rPr>
          <w:i/>
          <w:szCs w:val="24"/>
          <w:lang w:eastAsia="lt-LT"/>
        </w:rPr>
      </w:pPr>
      <w:r>
        <w:rPr>
          <w:i/>
          <w:szCs w:val="24"/>
          <w:lang w:eastAsia="lt-LT"/>
        </w:rPr>
        <w:t>čia:</w:t>
      </w:r>
    </w:p>
    <w:p w14:paraId="476C7470" w14:textId="77777777" w:rsidR="00B47383" w:rsidRDefault="00B47383">
      <w:pPr>
        <w:ind w:firstLine="567"/>
        <w:jc w:val="both"/>
        <w:rPr>
          <w:szCs w:val="24"/>
          <w:lang w:eastAsia="lt-LT"/>
        </w:rPr>
      </w:pPr>
    </w:p>
    <w:p w14:paraId="476C7475" w14:textId="77777777" w:rsidR="00B47383" w:rsidRDefault="0013625C">
      <w:pPr>
        <w:ind w:firstLine="567"/>
        <w:jc w:val="both"/>
        <w:rPr>
          <w:szCs w:val="24"/>
          <w:lang w:eastAsia="lt-LT"/>
        </w:rPr>
      </w:pPr>
      <w:r>
        <w:rPr>
          <w:szCs w:val="24"/>
          <w:lang w:eastAsia="lt-LT"/>
        </w:rPr>
        <w:t>P</w:t>
      </w:r>
      <w:r>
        <w:rPr>
          <w:szCs w:val="24"/>
          <w:vertAlign w:val="subscript"/>
          <w:lang w:eastAsia="lt-LT"/>
        </w:rPr>
        <w:t>R</w:t>
      </w:r>
      <w:r>
        <w:rPr>
          <w:szCs w:val="24"/>
          <w:lang w:eastAsia="lt-LT"/>
        </w:rPr>
        <w:t xml:space="preserve"> – rinkos kaina atein</w:t>
      </w:r>
      <w:bookmarkStart w:id="0" w:name="_GoBack"/>
      <w:bookmarkEnd w:id="0"/>
      <w:r>
        <w:rPr>
          <w:szCs w:val="24"/>
          <w:lang w:eastAsia="lt-LT"/>
        </w:rPr>
        <w:t>antiems ataskaitiniams kalendoriniams metams, Lt/MWh;</w:t>
      </w:r>
    </w:p>
    <w:p w14:paraId="476C7476" w14:textId="77777777" w:rsidR="00B47383" w:rsidRDefault="0013625C">
      <w:pPr>
        <w:ind w:firstLine="567"/>
        <w:jc w:val="both"/>
        <w:rPr>
          <w:szCs w:val="24"/>
          <w:lang w:eastAsia="lt-LT"/>
        </w:rPr>
      </w:pPr>
      <w:r>
        <w:rPr>
          <w:szCs w:val="24"/>
          <w:lang w:eastAsia="lt-LT"/>
        </w:rPr>
        <w:t>P</w:t>
      </w:r>
      <w:r>
        <w:rPr>
          <w:szCs w:val="24"/>
          <w:vertAlign w:val="subscript"/>
          <w:lang w:eastAsia="lt-LT"/>
        </w:rPr>
        <w:t>EX,t</w:t>
      </w:r>
      <w:r>
        <w:rPr>
          <w:szCs w:val="24"/>
          <w:lang w:eastAsia="lt-LT"/>
        </w:rPr>
        <w:t xml:space="preserve"> – elektros energijos kainos elektros biržoje Lietuvos teritorijoje, </w:t>
      </w:r>
      <w:r>
        <w:rPr>
          <w:i/>
          <w:szCs w:val="24"/>
          <w:lang w:eastAsia="lt-LT"/>
        </w:rPr>
        <w:t>t</w:t>
      </w:r>
      <w:r>
        <w:rPr>
          <w:szCs w:val="24"/>
          <w:lang w:eastAsia="lt-LT"/>
        </w:rPr>
        <w:t xml:space="preserve"> valandą, Lt/MWh (pagal punktą 7.1);</w:t>
      </w:r>
    </w:p>
    <w:p w14:paraId="476C7477" w14:textId="77777777" w:rsidR="00B47383" w:rsidRDefault="0013625C">
      <w:pPr>
        <w:ind w:firstLine="567"/>
        <w:jc w:val="both"/>
        <w:rPr>
          <w:szCs w:val="24"/>
          <w:lang w:eastAsia="lt-LT"/>
        </w:rPr>
      </w:pPr>
      <w:r>
        <w:rPr>
          <w:szCs w:val="24"/>
          <w:lang w:eastAsia="lt-LT"/>
        </w:rPr>
        <w:t>Q</w:t>
      </w:r>
      <w:r>
        <w:rPr>
          <w:szCs w:val="24"/>
          <w:vertAlign w:val="subscript"/>
          <w:lang w:eastAsia="lt-LT"/>
        </w:rPr>
        <w:t xml:space="preserve">EX,t </w:t>
      </w:r>
      <w:r>
        <w:rPr>
          <w:szCs w:val="24"/>
          <w:lang w:eastAsia="lt-LT"/>
        </w:rPr>
        <w:t>– elektros energijos kiekiai, suprekiauti elektros biržoje Lietuvos teritorijoje,</w:t>
      </w:r>
      <w:r>
        <w:rPr>
          <w:i/>
          <w:szCs w:val="24"/>
          <w:lang w:eastAsia="lt-LT"/>
        </w:rPr>
        <w:t xml:space="preserve"> t</w:t>
      </w:r>
      <w:r>
        <w:rPr>
          <w:szCs w:val="24"/>
          <w:lang w:eastAsia="lt-LT"/>
        </w:rPr>
        <w:t xml:space="preserve"> valandą, MWh (pagal punktą 7.1);</w:t>
      </w:r>
    </w:p>
    <w:p w14:paraId="476C7478" w14:textId="77777777" w:rsidR="00B47383" w:rsidRDefault="0013625C">
      <w:pPr>
        <w:ind w:firstLine="567"/>
        <w:jc w:val="both"/>
        <w:rPr>
          <w:szCs w:val="24"/>
          <w:lang w:eastAsia="lt-LT"/>
        </w:rPr>
      </w:pPr>
      <w:r>
        <w:rPr>
          <w:szCs w:val="24"/>
          <w:lang w:eastAsia="lt-LT"/>
        </w:rPr>
        <w:t>P</w:t>
      </w:r>
      <w:r>
        <w:rPr>
          <w:szCs w:val="24"/>
          <w:vertAlign w:val="subscript"/>
          <w:lang w:eastAsia="lt-LT"/>
        </w:rPr>
        <w:t>F,T</w:t>
      </w:r>
      <w:r>
        <w:rPr>
          <w:szCs w:val="24"/>
          <w:lang w:eastAsia="lt-LT"/>
        </w:rPr>
        <w:t xml:space="preserve"> – prekybos pagalbiniais instrumentais energijos išteklių biržoje ir dvišaliais susitarimais Lietuvos teritorijoje vidutinė svertinė kaina parą T, Lt/MWh; (pagal punktą 7.3);</w:t>
      </w:r>
    </w:p>
    <w:p w14:paraId="476C7479" w14:textId="77777777" w:rsidR="00B47383" w:rsidRDefault="0013625C">
      <w:pPr>
        <w:ind w:firstLine="567"/>
        <w:jc w:val="both"/>
        <w:rPr>
          <w:szCs w:val="24"/>
          <w:lang w:eastAsia="lt-LT"/>
        </w:rPr>
      </w:pPr>
      <w:r>
        <w:rPr>
          <w:szCs w:val="24"/>
          <w:lang w:eastAsia="lt-LT"/>
        </w:rPr>
        <w:t>Q</w:t>
      </w:r>
      <w:r>
        <w:rPr>
          <w:szCs w:val="24"/>
          <w:vertAlign w:val="subscript"/>
          <w:lang w:eastAsia="lt-LT"/>
        </w:rPr>
        <w:t>F,T</w:t>
      </w:r>
      <w:r>
        <w:rPr>
          <w:szCs w:val="24"/>
          <w:lang w:eastAsia="lt-LT"/>
        </w:rPr>
        <w:t xml:space="preserve"> – prekybos pagalbiniais instrumentais energijos išteklių biržoje ir dvišaliais susitarimais Lietuvos teritorijoje elektros energijos kiekiai, MWh; (pagal punktą 7.3);</w:t>
      </w:r>
    </w:p>
    <w:p w14:paraId="476C747A" w14:textId="77777777" w:rsidR="00B47383" w:rsidRDefault="0013625C">
      <w:pPr>
        <w:ind w:firstLine="567"/>
        <w:jc w:val="both"/>
        <w:rPr>
          <w:szCs w:val="24"/>
          <w:lang w:eastAsia="lt-LT"/>
        </w:rPr>
      </w:pPr>
      <w:r>
        <w:rPr>
          <w:szCs w:val="24"/>
          <w:lang w:eastAsia="lt-LT"/>
        </w:rPr>
        <w:t>P</w:t>
      </w:r>
      <w:r>
        <w:rPr>
          <w:szCs w:val="24"/>
          <w:vertAlign w:val="subscript"/>
          <w:lang w:eastAsia="lt-LT"/>
        </w:rPr>
        <w:t>D,M</w:t>
      </w:r>
      <w:r>
        <w:rPr>
          <w:szCs w:val="24"/>
          <w:lang w:eastAsia="lt-LT"/>
        </w:rPr>
        <w:t xml:space="preserve"> – šalia elektros energijos biržos sudarytų dvišalių sutarčių vidutinė svertinė mėnesio M kaina, Lt/MWh (pagal punktą 7.2);</w:t>
      </w:r>
    </w:p>
    <w:p w14:paraId="476C747B" w14:textId="77777777" w:rsidR="00B47383" w:rsidRDefault="0013625C">
      <w:pPr>
        <w:ind w:firstLine="567"/>
        <w:jc w:val="both"/>
        <w:rPr>
          <w:szCs w:val="24"/>
          <w:lang w:eastAsia="lt-LT"/>
        </w:rPr>
      </w:pPr>
      <w:r>
        <w:rPr>
          <w:szCs w:val="24"/>
          <w:lang w:eastAsia="lt-LT"/>
        </w:rPr>
        <w:t>Q</w:t>
      </w:r>
      <w:r>
        <w:rPr>
          <w:szCs w:val="24"/>
          <w:vertAlign w:val="subscript"/>
          <w:lang w:eastAsia="lt-LT"/>
        </w:rPr>
        <w:t>D,M</w:t>
      </w:r>
      <w:r>
        <w:rPr>
          <w:szCs w:val="24"/>
          <w:lang w:eastAsia="lt-LT"/>
        </w:rPr>
        <w:t xml:space="preserve"> – pagal šalia elektros energijos biržos sudarytas dvišales sutartis suprekiautas mėnesio M kiekis, MWh (pagal punktą 7.2);</w:t>
      </w:r>
    </w:p>
    <w:p w14:paraId="476C747C" w14:textId="77777777" w:rsidR="00B47383" w:rsidRDefault="0013625C">
      <w:pPr>
        <w:tabs>
          <w:tab w:val="left" w:pos="725"/>
        </w:tabs>
        <w:ind w:firstLine="567"/>
        <w:jc w:val="both"/>
        <w:rPr>
          <w:szCs w:val="24"/>
          <w:lang w:eastAsia="lt-LT"/>
        </w:rPr>
      </w:pPr>
      <w:r>
        <w:rPr>
          <w:szCs w:val="24"/>
          <w:lang w:eastAsia="lt-LT"/>
        </w:rPr>
        <w:t>t – ataskaitinio laikotarpio valanda,</w:t>
      </w:r>
    </w:p>
    <w:p w14:paraId="476C747D" w14:textId="77777777" w:rsidR="00B47383" w:rsidRDefault="0013625C">
      <w:pPr>
        <w:tabs>
          <w:tab w:val="left" w:pos="725"/>
        </w:tabs>
        <w:ind w:firstLine="567"/>
        <w:jc w:val="both"/>
        <w:rPr>
          <w:szCs w:val="24"/>
          <w:lang w:eastAsia="lt-LT"/>
        </w:rPr>
      </w:pPr>
      <w:r>
        <w:rPr>
          <w:szCs w:val="24"/>
          <w:lang w:eastAsia="lt-LT"/>
        </w:rPr>
        <w:t>y – atskaitinio laikotarpio valandų skaičius,</w:t>
      </w:r>
    </w:p>
    <w:p w14:paraId="476C747E" w14:textId="77777777" w:rsidR="00B47383" w:rsidRDefault="0013625C">
      <w:pPr>
        <w:tabs>
          <w:tab w:val="left" w:pos="725"/>
        </w:tabs>
        <w:ind w:firstLine="567"/>
        <w:jc w:val="both"/>
        <w:rPr>
          <w:szCs w:val="24"/>
          <w:lang w:eastAsia="lt-LT"/>
        </w:rPr>
      </w:pPr>
      <w:r>
        <w:rPr>
          <w:szCs w:val="24"/>
          <w:lang w:eastAsia="lt-LT"/>
        </w:rPr>
        <w:t>T – ataskaitinio laikotarpio para,</w:t>
      </w:r>
    </w:p>
    <w:p w14:paraId="476C747F" w14:textId="77777777" w:rsidR="00B47383" w:rsidRDefault="0013625C">
      <w:pPr>
        <w:tabs>
          <w:tab w:val="left" w:pos="725"/>
        </w:tabs>
        <w:ind w:firstLine="567"/>
        <w:jc w:val="both"/>
        <w:rPr>
          <w:szCs w:val="24"/>
          <w:lang w:eastAsia="lt-LT"/>
        </w:rPr>
      </w:pPr>
      <w:r>
        <w:rPr>
          <w:szCs w:val="24"/>
          <w:lang w:eastAsia="lt-LT"/>
        </w:rPr>
        <w:t>d – ataskaitinio laikotarpio parų skaičius,</w:t>
      </w:r>
    </w:p>
    <w:p w14:paraId="476C7480" w14:textId="77777777" w:rsidR="00B47383" w:rsidRDefault="0013625C">
      <w:pPr>
        <w:tabs>
          <w:tab w:val="left" w:pos="725"/>
        </w:tabs>
        <w:ind w:firstLine="567"/>
        <w:jc w:val="both"/>
        <w:rPr>
          <w:szCs w:val="24"/>
          <w:lang w:eastAsia="lt-LT"/>
        </w:rPr>
      </w:pPr>
      <w:r>
        <w:rPr>
          <w:szCs w:val="24"/>
          <w:lang w:eastAsia="lt-LT"/>
        </w:rPr>
        <w:t>M – ataskaitinio laikotarpio mėnuo,</w:t>
      </w:r>
    </w:p>
    <w:p w14:paraId="476C7481" w14:textId="77777777" w:rsidR="00B47383" w:rsidRDefault="0013625C">
      <w:pPr>
        <w:tabs>
          <w:tab w:val="left" w:pos="725"/>
        </w:tabs>
        <w:ind w:firstLine="567"/>
        <w:jc w:val="both"/>
        <w:rPr>
          <w:szCs w:val="24"/>
          <w:lang w:eastAsia="lt-LT"/>
        </w:rPr>
      </w:pPr>
      <w:r>
        <w:rPr>
          <w:szCs w:val="24"/>
          <w:lang w:eastAsia="lt-LT"/>
        </w:rPr>
        <w:t>m – ataskaitinio laikotarpio mėnesių skaičius.</w:t>
      </w:r>
    </w:p>
    <w:p w14:paraId="476C7482" w14:textId="77777777" w:rsidR="00B47383" w:rsidRDefault="00DF1280">
      <w:pPr>
        <w:tabs>
          <w:tab w:val="left" w:pos="485"/>
        </w:tabs>
        <w:ind w:firstLine="567"/>
        <w:jc w:val="both"/>
        <w:rPr>
          <w:szCs w:val="24"/>
          <w:lang w:eastAsia="lt-LT"/>
        </w:rPr>
      </w:pPr>
    </w:p>
    <w:p w14:paraId="476C7483" w14:textId="77777777" w:rsidR="00B47383" w:rsidRDefault="00DF1280">
      <w:pPr>
        <w:tabs>
          <w:tab w:val="left" w:pos="485"/>
        </w:tabs>
        <w:ind w:firstLine="567"/>
        <w:jc w:val="both"/>
        <w:rPr>
          <w:szCs w:val="24"/>
          <w:lang w:eastAsia="lt-LT"/>
        </w:rPr>
      </w:pPr>
      <w:r w:rsidR="0013625C">
        <w:rPr>
          <w:szCs w:val="24"/>
          <w:lang w:eastAsia="lt-LT"/>
        </w:rPr>
        <w:t>10</w:t>
      </w:r>
      <w:r w:rsidR="0013625C">
        <w:rPr>
          <w:szCs w:val="24"/>
          <w:lang w:eastAsia="lt-LT"/>
        </w:rPr>
        <w:t>. Komisija, nustatydama elektros energijos rinkos kainą ateinantiems kalendoriniams metams, papildomai įvertina:</w:t>
      </w:r>
    </w:p>
    <w:p w14:paraId="476C7484" w14:textId="77777777" w:rsidR="00B47383" w:rsidRDefault="00DF1280">
      <w:pPr>
        <w:tabs>
          <w:tab w:val="left" w:pos="595"/>
        </w:tabs>
        <w:ind w:firstLine="567"/>
        <w:jc w:val="both"/>
        <w:rPr>
          <w:szCs w:val="24"/>
          <w:lang w:eastAsia="lt-LT"/>
        </w:rPr>
      </w:pPr>
      <w:r w:rsidR="0013625C">
        <w:rPr>
          <w:szCs w:val="24"/>
          <w:lang w:eastAsia="lt-LT"/>
        </w:rPr>
        <w:t>10.1</w:t>
      </w:r>
      <w:r w:rsidR="0013625C">
        <w:rPr>
          <w:szCs w:val="24"/>
          <w:lang w:eastAsia="lt-LT"/>
        </w:rPr>
        <w:t>. elektros energijos kainų, nurodytų Metodikos 7.1, 7.2 ir 7.3 punktuose, dinamikos tendenciją į ateitį, ateinantiems kalendoriniams metams;</w:t>
      </w:r>
    </w:p>
    <w:p w14:paraId="476C7485" w14:textId="77777777" w:rsidR="00B47383" w:rsidRDefault="00DF1280">
      <w:pPr>
        <w:tabs>
          <w:tab w:val="left" w:pos="595"/>
        </w:tabs>
        <w:ind w:firstLine="567"/>
        <w:jc w:val="both"/>
        <w:rPr>
          <w:szCs w:val="24"/>
          <w:lang w:eastAsia="lt-LT"/>
        </w:rPr>
      </w:pPr>
      <w:r w:rsidR="0013625C">
        <w:rPr>
          <w:szCs w:val="24"/>
          <w:lang w:eastAsia="lt-LT"/>
        </w:rPr>
        <w:t>10.2</w:t>
      </w:r>
      <w:r w:rsidR="0013625C">
        <w:rPr>
          <w:szCs w:val="24"/>
          <w:lang w:eastAsia="lt-LT"/>
        </w:rPr>
        <w:t>. elektros energijos kainų, fiksuojamų ateities sandoriams aplinkinėse (pagal www.nasdaqomxcommodities.com viešai skelbiamą informaciją) ir vidaus rinkose, lygį ateinantiems kalendoriniams metams;</w:t>
      </w:r>
    </w:p>
    <w:p w14:paraId="476C7486" w14:textId="77777777" w:rsidR="00B47383" w:rsidRDefault="00DF1280">
      <w:pPr>
        <w:tabs>
          <w:tab w:val="left" w:pos="595"/>
        </w:tabs>
        <w:ind w:firstLine="567"/>
        <w:jc w:val="both"/>
        <w:rPr>
          <w:szCs w:val="24"/>
          <w:lang w:eastAsia="lt-LT"/>
        </w:rPr>
      </w:pPr>
      <w:r w:rsidR="0013625C">
        <w:rPr>
          <w:szCs w:val="24"/>
          <w:lang w:eastAsia="lt-LT"/>
        </w:rPr>
        <w:t>10.3</w:t>
      </w:r>
      <w:r w:rsidR="0013625C">
        <w:rPr>
          <w:szCs w:val="24"/>
          <w:lang w:eastAsia="lt-LT"/>
        </w:rPr>
        <w:t>. kitą Komisijai prieinamą informaciją bei žinomas aplinkybes, galinčias daryti reikšmingą įtaką elektros energijos rinkos kainai ateinančiais kalendoriniais metais.</w:t>
      </w:r>
    </w:p>
    <w:p w14:paraId="476C7487" w14:textId="77777777" w:rsidR="00B47383" w:rsidRDefault="00DF1280">
      <w:pPr>
        <w:tabs>
          <w:tab w:val="left" w:pos="485"/>
        </w:tabs>
        <w:ind w:firstLine="567"/>
        <w:jc w:val="both"/>
        <w:rPr>
          <w:szCs w:val="24"/>
          <w:lang w:eastAsia="lt-LT"/>
        </w:rPr>
      </w:pPr>
      <w:r w:rsidR="0013625C">
        <w:rPr>
          <w:szCs w:val="24"/>
          <w:lang w:eastAsia="lt-LT"/>
        </w:rPr>
        <w:t>11</w:t>
      </w:r>
      <w:r w:rsidR="0013625C">
        <w:rPr>
          <w:szCs w:val="24"/>
          <w:lang w:eastAsia="lt-LT"/>
        </w:rPr>
        <w:t>. Jei Komisija nustato, kad Metodikos 10.1–10.3 punktuose nurodytų veiksnių įtaka elektros energijos rinkos kainai P</w:t>
      </w:r>
      <w:r w:rsidR="0013625C">
        <w:rPr>
          <w:szCs w:val="24"/>
          <w:vertAlign w:val="subscript"/>
          <w:lang w:eastAsia="lt-LT"/>
        </w:rPr>
        <w:t>R</w:t>
      </w:r>
      <w:r w:rsidR="0013625C">
        <w:rPr>
          <w:szCs w:val="24"/>
          <w:lang w:eastAsia="lt-LT"/>
        </w:rPr>
        <w:t xml:space="preserve"> ateinantiems kalendoriniams metams yra reikšminga, t. y. lemia daugiau nei 5 proc., Komisija šią įtaką įvertina koreguodama  P</w:t>
      </w:r>
      <w:r w:rsidR="0013625C">
        <w:rPr>
          <w:szCs w:val="24"/>
          <w:vertAlign w:val="subscript"/>
          <w:lang w:eastAsia="lt-LT"/>
        </w:rPr>
        <w:t>R</w:t>
      </w:r>
      <w:r w:rsidR="0013625C">
        <w:rPr>
          <w:szCs w:val="24"/>
          <w:lang w:eastAsia="lt-LT"/>
        </w:rPr>
        <w:t>, apskaičiuotos pagal Metodikos 9 punktą, vertę iki reikšmės, neviršijančios 5 proc. ribos.</w:t>
      </w:r>
    </w:p>
    <w:p w14:paraId="476C7488" w14:textId="77777777" w:rsidR="00B47383" w:rsidRDefault="00DF1280">
      <w:pPr>
        <w:tabs>
          <w:tab w:val="left" w:pos="485"/>
        </w:tabs>
        <w:ind w:firstLine="567"/>
        <w:jc w:val="both"/>
        <w:rPr>
          <w:szCs w:val="24"/>
          <w:lang w:eastAsia="lt-LT"/>
        </w:rPr>
      </w:pPr>
      <w:r w:rsidR="0013625C">
        <w:rPr>
          <w:szCs w:val="24"/>
          <w:lang w:eastAsia="lt-LT"/>
        </w:rPr>
        <w:t>11.1</w:t>
      </w:r>
      <w:r w:rsidR="0013625C">
        <w:rPr>
          <w:szCs w:val="24"/>
          <w:lang w:eastAsia="lt-LT"/>
        </w:rPr>
        <w:t>. Rinkos kainos koregavimo atveju Komisija viešai įvardija veiksnius, darančius reikšmingą įtaką rinkos kainai, ir argumentuoja, kodėl yra į juos atsižvelgiama.</w:t>
      </w:r>
    </w:p>
    <w:p w14:paraId="476C7489" w14:textId="77777777" w:rsidR="00B47383" w:rsidRDefault="00DF1280">
      <w:pPr>
        <w:tabs>
          <w:tab w:val="left" w:pos="485"/>
        </w:tabs>
        <w:ind w:firstLine="567"/>
        <w:jc w:val="both"/>
        <w:rPr>
          <w:szCs w:val="24"/>
          <w:lang w:eastAsia="lt-LT"/>
        </w:rPr>
      </w:pPr>
      <w:r w:rsidR="0013625C">
        <w:rPr>
          <w:szCs w:val="24"/>
          <w:lang w:eastAsia="lt-LT"/>
        </w:rPr>
        <w:t>12</w:t>
      </w:r>
      <w:r w:rsidR="0013625C">
        <w:rPr>
          <w:szCs w:val="24"/>
          <w:lang w:eastAsia="lt-LT"/>
        </w:rPr>
        <w:t>. Komisijos nustatyta elektros energijos rinkos kaina ateinantiems kalendoriniams metams naudojama nustatant viešuosius interesus atitinkančių paslaugų (toliau – VIAP) lėšų metinę sąmatą ateinantiems kalendoriniams metams, vadovaujantis Komisijos patvirtinta Viešuosius interesus atitinkančių paslaugų elektros energetikos sektoriuje kainos nustatymo metodika, bei apskaičiuojant visuomeninę elektros energijos kainą reguliuojamiems vartotojams.</w:t>
      </w:r>
    </w:p>
    <w:p w14:paraId="476C748A" w14:textId="77777777" w:rsidR="00B47383" w:rsidRDefault="00DF1280">
      <w:pPr>
        <w:tabs>
          <w:tab w:val="left" w:pos="547"/>
        </w:tabs>
        <w:ind w:firstLine="567"/>
        <w:jc w:val="both"/>
        <w:rPr>
          <w:szCs w:val="24"/>
          <w:lang w:eastAsia="lt-LT"/>
        </w:rPr>
      </w:pPr>
      <w:r w:rsidR="0013625C">
        <w:rPr>
          <w:szCs w:val="24"/>
          <w:lang w:eastAsia="lt-LT"/>
        </w:rPr>
        <w:t>13</w:t>
      </w:r>
      <w:r w:rsidR="0013625C">
        <w:rPr>
          <w:szCs w:val="24"/>
          <w:lang w:eastAsia="lt-LT"/>
        </w:rPr>
        <w:t>. Komisijos nustatyta rinkos kaina ateinantiems kalendoriniams metams naudojama nustatant VIAP lėšų gavėjams mokėtinas sumas, vadovaujantis Viešuosius interesus atitinkančių paslaugų elektros energetikos sektoriuje lėšų administravimo tvarkos aprašu. Ši kaina netaikoma VIAP lėšų gavėjams, kuriems pagal Lietuvos Respublikos atsinaujinančių išteklių energetikos įstatymą taikoma praėjusio mėnesio vidutinė elektros energijos rinkos kaina.</w:t>
      </w:r>
    </w:p>
    <w:p w14:paraId="476C748B" w14:textId="77777777" w:rsidR="00B47383" w:rsidRDefault="00DF1280">
      <w:pPr>
        <w:ind w:firstLine="567"/>
        <w:jc w:val="both"/>
        <w:rPr>
          <w:szCs w:val="24"/>
          <w:lang w:eastAsia="lt-LT"/>
        </w:rPr>
      </w:pPr>
    </w:p>
    <w:p w14:paraId="476C748C" w14:textId="77777777" w:rsidR="00B47383" w:rsidRDefault="00DF1280">
      <w:pPr>
        <w:tabs>
          <w:tab w:val="left" w:pos="547"/>
        </w:tabs>
        <w:jc w:val="center"/>
        <w:rPr>
          <w:b/>
          <w:szCs w:val="24"/>
          <w:lang w:eastAsia="lt-LT"/>
        </w:rPr>
      </w:pPr>
      <w:r w:rsidR="0013625C">
        <w:rPr>
          <w:b/>
          <w:szCs w:val="24"/>
          <w:lang w:eastAsia="lt-LT"/>
        </w:rPr>
        <w:t>III</w:t>
      </w:r>
      <w:r w:rsidR="0013625C">
        <w:rPr>
          <w:b/>
          <w:szCs w:val="24"/>
          <w:lang w:eastAsia="lt-LT"/>
        </w:rPr>
        <w:t xml:space="preserve">. </w:t>
      </w:r>
      <w:r w:rsidR="0013625C">
        <w:rPr>
          <w:b/>
          <w:szCs w:val="24"/>
          <w:lang w:eastAsia="lt-LT"/>
        </w:rPr>
        <w:t>REIKALAVIMAI, SUSIJĘ SU ELEKTROS ENERGIJOS RINKOS KAINOS ATEINANTIEMS KALENDORINIAMS METAMS NUSTATYMU</w:t>
      </w:r>
    </w:p>
    <w:p w14:paraId="476C748D" w14:textId="77777777" w:rsidR="00B47383" w:rsidRDefault="00B47383">
      <w:pPr>
        <w:tabs>
          <w:tab w:val="left" w:pos="547"/>
        </w:tabs>
        <w:ind w:firstLine="567"/>
        <w:jc w:val="both"/>
        <w:rPr>
          <w:szCs w:val="24"/>
          <w:lang w:eastAsia="lt-LT"/>
        </w:rPr>
      </w:pPr>
    </w:p>
    <w:p w14:paraId="476C748E" w14:textId="77777777" w:rsidR="00B47383" w:rsidRDefault="00DF1280">
      <w:pPr>
        <w:tabs>
          <w:tab w:val="left" w:pos="725"/>
        </w:tabs>
        <w:ind w:firstLine="567"/>
        <w:jc w:val="both"/>
        <w:rPr>
          <w:szCs w:val="24"/>
          <w:lang w:eastAsia="lt-LT"/>
        </w:rPr>
      </w:pPr>
      <w:r w:rsidR="0013625C">
        <w:rPr>
          <w:szCs w:val="24"/>
          <w:lang w:eastAsia="lt-LT"/>
        </w:rPr>
        <w:t>14</w:t>
      </w:r>
      <w:r w:rsidR="0013625C">
        <w:rPr>
          <w:szCs w:val="24"/>
          <w:lang w:eastAsia="lt-LT"/>
        </w:rPr>
        <w:t>.  Asmuo, organizuojantis prekybą pagalbiniais instrumentais nustatęs, kad energijos išteklių biržos dalyvių pateikti prekybos pasiūlymai gali būti laikomi apsimestiniais, pateikia Komisijai tai pagrindžiančius įrodymus.</w:t>
      </w:r>
    </w:p>
    <w:p w14:paraId="476C748F" w14:textId="77777777" w:rsidR="00B47383" w:rsidRDefault="00DF1280">
      <w:pPr>
        <w:tabs>
          <w:tab w:val="left" w:pos="547"/>
        </w:tabs>
        <w:ind w:firstLine="567"/>
        <w:jc w:val="both"/>
        <w:rPr>
          <w:szCs w:val="24"/>
          <w:lang w:eastAsia="lt-LT"/>
        </w:rPr>
      </w:pPr>
      <w:r w:rsidR="0013625C">
        <w:rPr>
          <w:szCs w:val="24"/>
          <w:lang w:eastAsia="lt-LT"/>
        </w:rPr>
        <w:t>15</w:t>
      </w:r>
      <w:r w:rsidR="0013625C">
        <w:rPr>
          <w:szCs w:val="24"/>
          <w:lang w:eastAsia="lt-LT"/>
        </w:rPr>
        <w:t>. Energijos išteklių operatorius iki einamųjų metų rugpjūčio 1 d. Komisijai raštu pateikia informaciją apie elektros energijos kainas ir kiekius, suprekiautus naudojantis pagalbiniais instrumentais, už 12 paskutinių kalendorinių mėnesių, pasibaigusių einamųjų kalendorinių metų liepos 1  d.</w:t>
      </w:r>
    </w:p>
    <w:p w14:paraId="476C7490" w14:textId="77777777" w:rsidR="00B47383" w:rsidRDefault="00DF1280">
      <w:pPr>
        <w:tabs>
          <w:tab w:val="left" w:pos="547"/>
        </w:tabs>
        <w:ind w:firstLine="567"/>
        <w:jc w:val="both"/>
        <w:rPr>
          <w:szCs w:val="24"/>
          <w:lang w:eastAsia="lt-LT"/>
        </w:rPr>
      </w:pPr>
      <w:r w:rsidR="0013625C">
        <w:rPr>
          <w:szCs w:val="24"/>
          <w:lang w:eastAsia="lt-LT"/>
        </w:rPr>
        <w:t>16</w:t>
      </w:r>
      <w:r w:rsidR="0013625C">
        <w:rPr>
          <w:szCs w:val="24"/>
          <w:lang w:eastAsia="lt-LT"/>
        </w:rPr>
        <w:t>. Asmenys, sudarantys sutartis dėl prekybos pagalbiniais instrumentais, ne per energijos išteklių biržą, o dvišalio susitarimo pagrindu, iki einamųjų metų rugpjūčio 1 d. Komisijai raštu pateikia informaciją apie elektros energijos kainas ir kiekius, suprekiautus naudojantis pagalbiniais instrumentais, už 12 paskutinių kalendorinių mėnesių, pasibaigusių einamųjų kalendorinių metų liepos 1  d. (priedas).</w:t>
      </w:r>
    </w:p>
    <w:p w14:paraId="476C7491" w14:textId="77777777" w:rsidR="00B47383" w:rsidRDefault="00DF1280">
      <w:pPr>
        <w:tabs>
          <w:tab w:val="left" w:pos="547"/>
        </w:tabs>
        <w:ind w:firstLine="567"/>
        <w:jc w:val="both"/>
        <w:rPr>
          <w:szCs w:val="24"/>
          <w:lang w:eastAsia="lt-LT"/>
        </w:rPr>
      </w:pPr>
      <w:r w:rsidR="0013625C">
        <w:rPr>
          <w:szCs w:val="24"/>
          <w:lang w:eastAsia="lt-LT"/>
        </w:rPr>
        <w:t>17</w:t>
      </w:r>
      <w:r w:rsidR="0013625C">
        <w:rPr>
          <w:szCs w:val="24"/>
          <w:lang w:eastAsia="lt-LT"/>
        </w:rPr>
        <w:t>. Asmenys, veikiantys elektros energetikos sektoriuje, turi teisę Komisijai pranešti raštu apie jiems žinomas aplinkybes, galinčias daryti reikšmingą įtaką elektros energijos rinkos kainai ateinančiais kalendoriniais metais.</w:t>
      </w:r>
    </w:p>
    <w:p w14:paraId="476C7492" w14:textId="77777777" w:rsidR="00B47383" w:rsidRDefault="00DF1280">
      <w:pPr>
        <w:tabs>
          <w:tab w:val="left" w:pos="547"/>
        </w:tabs>
        <w:ind w:firstLine="567"/>
        <w:jc w:val="both"/>
        <w:rPr>
          <w:szCs w:val="24"/>
          <w:lang w:eastAsia="lt-LT"/>
        </w:rPr>
      </w:pPr>
      <w:r w:rsidR="0013625C">
        <w:rPr>
          <w:szCs w:val="24"/>
          <w:lang w:eastAsia="lt-LT"/>
        </w:rPr>
        <w:t>18</w:t>
      </w:r>
      <w:r w:rsidR="0013625C">
        <w:rPr>
          <w:szCs w:val="24"/>
          <w:lang w:eastAsia="lt-LT"/>
        </w:rPr>
        <w:t>. Komisija iki einamųjų metų spalio 1 d. elektros energijos rinkos kainą ateinantiems kalendoriniams metams patvirtina atskiru nutarimu ir paskelbia viešai.</w:t>
      </w:r>
    </w:p>
    <w:p w14:paraId="476C7493" w14:textId="77777777" w:rsidR="00B47383" w:rsidRDefault="00DF1280">
      <w:pPr>
        <w:jc w:val="both"/>
        <w:rPr>
          <w:szCs w:val="24"/>
          <w:lang w:eastAsia="lt-LT"/>
        </w:rPr>
      </w:pPr>
    </w:p>
    <w:p w14:paraId="476C7494" w14:textId="77777777" w:rsidR="00B47383" w:rsidRDefault="00DF1280">
      <w:pPr>
        <w:jc w:val="center"/>
        <w:rPr>
          <w:b/>
          <w:szCs w:val="24"/>
          <w:lang w:eastAsia="lt-LT"/>
        </w:rPr>
      </w:pPr>
      <w:r w:rsidR="0013625C">
        <w:rPr>
          <w:b/>
          <w:szCs w:val="24"/>
          <w:lang w:eastAsia="lt-LT"/>
        </w:rPr>
        <w:t>IV</w:t>
      </w:r>
      <w:r w:rsidR="0013625C">
        <w:rPr>
          <w:b/>
          <w:szCs w:val="24"/>
          <w:lang w:eastAsia="lt-LT"/>
        </w:rPr>
        <w:t xml:space="preserve">. </w:t>
      </w:r>
      <w:r w:rsidR="0013625C">
        <w:rPr>
          <w:b/>
          <w:szCs w:val="24"/>
          <w:lang w:eastAsia="lt-LT"/>
        </w:rPr>
        <w:t>PRAĖJUSIO MĖNESIO VIDUTINĖS ELEKTROS ENERGIJOS RINKOS KAINOS NUSTATYMO TVARKA</w:t>
      </w:r>
    </w:p>
    <w:p w14:paraId="476C7495" w14:textId="77777777" w:rsidR="00B47383" w:rsidRDefault="00B47383">
      <w:pPr>
        <w:tabs>
          <w:tab w:val="left" w:pos="547"/>
        </w:tabs>
        <w:ind w:firstLine="567"/>
        <w:jc w:val="both"/>
        <w:rPr>
          <w:szCs w:val="24"/>
          <w:lang w:eastAsia="lt-LT"/>
        </w:rPr>
      </w:pPr>
    </w:p>
    <w:p w14:paraId="476C7496" w14:textId="77777777" w:rsidR="00B47383" w:rsidRDefault="00DF1280">
      <w:pPr>
        <w:tabs>
          <w:tab w:val="left" w:pos="547"/>
        </w:tabs>
        <w:ind w:firstLine="567"/>
        <w:jc w:val="both"/>
        <w:rPr>
          <w:szCs w:val="24"/>
          <w:lang w:eastAsia="lt-LT"/>
        </w:rPr>
      </w:pPr>
      <w:r w:rsidR="0013625C">
        <w:rPr>
          <w:szCs w:val="24"/>
          <w:lang w:eastAsia="lt-LT"/>
        </w:rPr>
        <w:t>19</w:t>
      </w:r>
      <w:r w:rsidR="0013625C">
        <w:rPr>
          <w:szCs w:val="24"/>
          <w:lang w:eastAsia="lt-LT"/>
        </w:rPr>
        <w:t>. Komisija nustato praėjusio mėnesio vidutinę rinkos kainą, kaip elektros energijos kainas ir kiekius, suprekiautus elektros energijos biržoje Lietuvos teritorijoje, „diena – prieš“ prekybos sesijoje, CET laiku už praėjusį kalendorinį mėnesį, nevertindama Metodikos 8.3 punkte numatytais būdais suprekiautų kiekių ir kainų.</w:t>
      </w:r>
    </w:p>
    <w:p w14:paraId="476C7497" w14:textId="77777777" w:rsidR="00B47383" w:rsidRDefault="00DF1280">
      <w:pPr>
        <w:tabs>
          <w:tab w:val="left" w:pos="547"/>
        </w:tabs>
        <w:ind w:firstLine="567"/>
        <w:jc w:val="both"/>
        <w:rPr>
          <w:szCs w:val="24"/>
          <w:lang w:eastAsia="lt-LT"/>
        </w:rPr>
      </w:pPr>
      <w:r w:rsidR="0013625C">
        <w:rPr>
          <w:szCs w:val="24"/>
          <w:lang w:eastAsia="lt-LT"/>
        </w:rPr>
        <w:t>20</w:t>
      </w:r>
      <w:r w:rsidR="0013625C">
        <w:rPr>
          <w:szCs w:val="24"/>
          <w:lang w:eastAsia="lt-LT"/>
        </w:rPr>
        <w:t xml:space="preserve">. Praėjusio mėnesio vidutinė elektros energijos rinkos kaina taikoma elektros energijos gamintojams, naudojantiems atsinaujinančius energijos išteklius, Atsinaujinančių išteklių energetikos įstatymo nustatyta tvarka ir sąlygomis. Šie gamintojai taiko praėjusio mėnesio vidutinę elektros energijos rinkos kainą, pateikdami VIAP lėšų administratoriui sąskaitas už pagamintą ir į tinklus patiektą elektros energiją per praėjusį kalendorinį mėnesį, </w:t>
      </w:r>
      <w:r w:rsidR="0013625C">
        <w:rPr>
          <w:szCs w:val="24"/>
          <w:lang w:eastAsia="lt-LT"/>
        </w:rPr>
        <w:lastRenderedPageBreak/>
        <w:t>vadovaudamiesi Viešuosius interesus atitinkančių paslaugų elektros energetikos sektoriuje lėšų administravimo tvarkos aprašu.</w:t>
      </w:r>
    </w:p>
    <w:p w14:paraId="476C7498" w14:textId="77777777" w:rsidR="00B47383" w:rsidRDefault="00DF1280">
      <w:pPr>
        <w:jc w:val="both"/>
        <w:rPr>
          <w:spacing w:val="-20"/>
          <w:szCs w:val="24"/>
          <w:lang w:eastAsia="lt-LT"/>
        </w:rPr>
      </w:pPr>
    </w:p>
    <w:p w14:paraId="476C7499" w14:textId="77777777" w:rsidR="00B47383" w:rsidRDefault="00DF1280">
      <w:pPr>
        <w:jc w:val="center"/>
        <w:rPr>
          <w:b/>
          <w:szCs w:val="24"/>
          <w:lang w:eastAsia="lt-LT"/>
        </w:rPr>
      </w:pPr>
      <w:r w:rsidR="0013625C">
        <w:rPr>
          <w:b/>
          <w:spacing w:val="-20"/>
          <w:szCs w:val="24"/>
          <w:lang w:eastAsia="lt-LT"/>
        </w:rPr>
        <w:t>V</w:t>
      </w:r>
      <w:r w:rsidR="0013625C">
        <w:rPr>
          <w:b/>
          <w:spacing w:val="-20"/>
          <w:szCs w:val="24"/>
          <w:lang w:eastAsia="lt-LT"/>
        </w:rPr>
        <w:t>.</w:t>
      </w:r>
      <w:r w:rsidR="0013625C">
        <w:rPr>
          <w:b/>
          <w:szCs w:val="24"/>
          <w:lang w:eastAsia="lt-LT"/>
        </w:rPr>
        <w:t xml:space="preserve"> </w:t>
      </w:r>
      <w:r w:rsidR="0013625C">
        <w:rPr>
          <w:b/>
          <w:szCs w:val="24"/>
          <w:lang w:eastAsia="lt-LT"/>
        </w:rPr>
        <w:t>REIKALAVIMAI, SUSIJĘ SU PRAĖJUSIO MĖNESIO VIDUTINĖS ELEKTROS ENERGIJOS RINKOS KAINOS NUSTATYMU</w:t>
      </w:r>
    </w:p>
    <w:p w14:paraId="476C749A" w14:textId="77777777" w:rsidR="00B47383" w:rsidRDefault="00B47383">
      <w:pPr>
        <w:tabs>
          <w:tab w:val="left" w:pos="562"/>
        </w:tabs>
        <w:jc w:val="both"/>
        <w:rPr>
          <w:szCs w:val="24"/>
          <w:lang w:eastAsia="lt-LT"/>
        </w:rPr>
      </w:pPr>
    </w:p>
    <w:p w14:paraId="476C749B" w14:textId="77777777" w:rsidR="00B47383" w:rsidRDefault="00DF1280">
      <w:pPr>
        <w:tabs>
          <w:tab w:val="left" w:pos="562"/>
        </w:tabs>
        <w:ind w:firstLine="567"/>
        <w:jc w:val="both"/>
        <w:rPr>
          <w:szCs w:val="24"/>
          <w:lang w:eastAsia="lt-LT"/>
        </w:rPr>
      </w:pPr>
      <w:r w:rsidR="0013625C">
        <w:rPr>
          <w:szCs w:val="24"/>
          <w:lang w:eastAsia="lt-LT"/>
        </w:rPr>
        <w:t>21</w:t>
      </w:r>
      <w:r w:rsidR="0013625C">
        <w:rPr>
          <w:szCs w:val="24"/>
          <w:lang w:eastAsia="lt-LT"/>
        </w:rPr>
        <w:t>. Komisija, nustatydama praėjusio mėnesio vidutinę elektros energijos rinkos kainą, naudoja elektros energijos kainas ir kiekius, suprekiautus elektros energijos biržoje Lietuvos teritorijoje, kurie yra skelbiami elektros biržos operatoriaus interneto puslapyje.</w:t>
      </w:r>
    </w:p>
    <w:p w14:paraId="476C749C" w14:textId="77777777" w:rsidR="00B47383" w:rsidRDefault="00DF1280">
      <w:pPr>
        <w:tabs>
          <w:tab w:val="left" w:pos="562"/>
        </w:tabs>
        <w:ind w:firstLine="567"/>
        <w:jc w:val="both"/>
        <w:rPr>
          <w:szCs w:val="24"/>
          <w:lang w:eastAsia="lt-LT"/>
        </w:rPr>
      </w:pPr>
      <w:r w:rsidR="0013625C">
        <w:rPr>
          <w:szCs w:val="24"/>
          <w:lang w:eastAsia="lt-LT"/>
        </w:rPr>
        <w:t>22</w:t>
      </w:r>
      <w:r w:rsidR="0013625C">
        <w:rPr>
          <w:szCs w:val="24"/>
          <w:lang w:eastAsia="lt-LT"/>
        </w:rPr>
        <w:t xml:space="preserve">. Komisija ir VIAP lėšų administratorius ne vėliau kaip iki kiekvieno mėnesio 5 kalendorinės dienos viešai savo interneto tinklalapyje paskelbia praėjusio mėnesio vidutinę elektros energijos rinkos kainą. </w:t>
      </w:r>
    </w:p>
    <w:p w14:paraId="476C749D" w14:textId="77777777" w:rsidR="00B47383" w:rsidRDefault="00DF1280">
      <w:pPr>
        <w:jc w:val="both"/>
        <w:rPr>
          <w:szCs w:val="24"/>
          <w:lang w:eastAsia="lt-LT"/>
        </w:rPr>
      </w:pPr>
    </w:p>
    <w:p w14:paraId="476C749E" w14:textId="77777777" w:rsidR="00B47383" w:rsidRDefault="0013625C">
      <w:pPr>
        <w:jc w:val="center"/>
        <w:rPr>
          <w:b/>
          <w:szCs w:val="24"/>
          <w:lang w:eastAsia="lt-LT"/>
        </w:rPr>
      </w:pPr>
      <w:r>
        <w:rPr>
          <w:b/>
          <w:szCs w:val="24"/>
          <w:lang w:eastAsia="lt-LT"/>
        </w:rPr>
        <w:br w:type="page"/>
      </w:r>
      <w:r>
        <w:rPr>
          <w:b/>
          <w:szCs w:val="24"/>
          <w:lang w:eastAsia="lt-LT"/>
        </w:rPr>
        <w:t>VI</w:t>
      </w:r>
      <w:r>
        <w:rPr>
          <w:b/>
          <w:szCs w:val="24"/>
          <w:lang w:eastAsia="lt-LT"/>
        </w:rPr>
        <w:t xml:space="preserve">. </w:t>
      </w:r>
      <w:r>
        <w:rPr>
          <w:b/>
          <w:szCs w:val="24"/>
          <w:lang w:eastAsia="lt-LT"/>
        </w:rPr>
        <w:t>BAIGIAMOSIOS NUOSTATOS</w:t>
      </w:r>
    </w:p>
    <w:p w14:paraId="476C749F" w14:textId="77777777" w:rsidR="00B47383" w:rsidRDefault="00B47383">
      <w:pPr>
        <w:tabs>
          <w:tab w:val="left" w:pos="547"/>
        </w:tabs>
        <w:jc w:val="both"/>
        <w:rPr>
          <w:szCs w:val="24"/>
          <w:lang w:eastAsia="lt-LT"/>
        </w:rPr>
      </w:pPr>
    </w:p>
    <w:p w14:paraId="476C74A0" w14:textId="77777777" w:rsidR="00B47383" w:rsidRDefault="00DF1280">
      <w:pPr>
        <w:tabs>
          <w:tab w:val="left" w:pos="547"/>
        </w:tabs>
        <w:ind w:firstLine="567"/>
        <w:jc w:val="both"/>
        <w:rPr>
          <w:szCs w:val="24"/>
          <w:lang w:eastAsia="lt-LT"/>
        </w:rPr>
      </w:pPr>
      <w:r w:rsidR="0013625C">
        <w:rPr>
          <w:szCs w:val="24"/>
          <w:lang w:eastAsia="lt-LT"/>
        </w:rPr>
        <w:t>23</w:t>
      </w:r>
      <w:r w:rsidR="0013625C">
        <w:rPr>
          <w:szCs w:val="24"/>
          <w:lang w:eastAsia="lt-LT"/>
        </w:rPr>
        <w:t>. Asmuo, organizuojantis prekybą pagalbiniais instrumentais, privalo užtikrinti iš rinkos dalyvių gaunamos informacijos konfidencialumą.</w:t>
      </w:r>
    </w:p>
    <w:p w14:paraId="476C74A1" w14:textId="77777777" w:rsidR="00B47383" w:rsidRDefault="00DF1280">
      <w:pPr>
        <w:tabs>
          <w:tab w:val="left" w:pos="547"/>
        </w:tabs>
        <w:ind w:firstLine="567"/>
        <w:jc w:val="both"/>
        <w:rPr>
          <w:szCs w:val="24"/>
          <w:lang w:eastAsia="lt-LT"/>
        </w:rPr>
      </w:pPr>
      <w:r w:rsidR="0013625C">
        <w:rPr>
          <w:szCs w:val="24"/>
          <w:lang w:eastAsia="lt-LT"/>
        </w:rPr>
        <w:t>24</w:t>
      </w:r>
      <w:r w:rsidR="0013625C">
        <w:rPr>
          <w:szCs w:val="24"/>
          <w:lang w:eastAsia="lt-LT"/>
        </w:rPr>
        <w:t>. Komisija, vadovaudamasi Energetikos įstatymo 25 straipsnio 1 dalimi, Elektros energetikos įstatymo 57 straipsnio 2 dalimi ir kitų teisės aktų nustatyta tvarka, turi teisę iš energetikos įmonių ar asmenų, kurių vykdoma veikla tiesiogiai ar netiesiogiai susijusi su energetikos veikla, bei valstybės institucijų gauti visą reikalingą informaciją ir dokumentus, būtinus elektros energijos rinkos kainai nustatyti.</w:t>
      </w:r>
    </w:p>
    <w:p w14:paraId="476C74A2" w14:textId="77777777" w:rsidR="00B47383" w:rsidRDefault="00DF1280">
      <w:pPr>
        <w:tabs>
          <w:tab w:val="left" w:pos="566"/>
        </w:tabs>
        <w:ind w:firstLine="567"/>
        <w:jc w:val="both"/>
        <w:rPr>
          <w:szCs w:val="24"/>
          <w:lang w:eastAsia="lt-LT"/>
        </w:rPr>
      </w:pPr>
      <w:r w:rsidR="0013625C">
        <w:rPr>
          <w:szCs w:val="24"/>
          <w:lang w:eastAsia="lt-LT"/>
        </w:rPr>
        <w:t>25</w:t>
      </w:r>
      <w:r w:rsidR="0013625C">
        <w:rPr>
          <w:szCs w:val="24"/>
          <w:lang w:eastAsia="lt-LT"/>
        </w:rPr>
        <w:t>. Asmenys, pažeidę šios Metodikos reikalavimus, atsako Lietuvos Respublikos įstatymų nustatyta tvarka.</w:t>
      </w:r>
    </w:p>
    <w:p w14:paraId="476C74A3" w14:textId="77777777" w:rsidR="00B47383" w:rsidRDefault="00DF1280">
      <w:pPr>
        <w:tabs>
          <w:tab w:val="left" w:pos="566"/>
        </w:tabs>
        <w:ind w:firstLine="567"/>
        <w:jc w:val="both"/>
        <w:rPr>
          <w:szCs w:val="24"/>
          <w:lang w:eastAsia="lt-LT"/>
        </w:rPr>
      </w:pPr>
      <w:r w:rsidR="0013625C">
        <w:rPr>
          <w:szCs w:val="24"/>
          <w:lang w:eastAsia="lt-LT"/>
        </w:rPr>
        <w:t>26</w:t>
      </w:r>
      <w:r w:rsidR="0013625C">
        <w:rPr>
          <w:szCs w:val="24"/>
          <w:lang w:eastAsia="lt-LT"/>
        </w:rPr>
        <w:t>. Komisijos veiksmai ar neveikimas, įgyvendinant šią Metodiką, gali būti skundžiami Lietuvos Respublikos įstatymų nustatyta tvarka ir sąlygomis.</w:t>
      </w:r>
    </w:p>
    <w:p w14:paraId="476C74A4" w14:textId="77777777" w:rsidR="00B47383" w:rsidRDefault="00DF1280">
      <w:pPr>
        <w:jc w:val="center"/>
        <w:rPr>
          <w:szCs w:val="24"/>
          <w:lang w:eastAsia="lt-LT"/>
        </w:rPr>
      </w:pPr>
    </w:p>
    <w:p w14:paraId="476C74A5" w14:textId="77777777" w:rsidR="00B47383" w:rsidRDefault="0013625C">
      <w:pPr>
        <w:jc w:val="center"/>
        <w:rPr>
          <w:szCs w:val="24"/>
          <w:lang w:eastAsia="lt-LT"/>
        </w:rPr>
      </w:pPr>
      <w:r>
        <w:rPr>
          <w:szCs w:val="24"/>
          <w:lang w:eastAsia="lt-LT"/>
        </w:rPr>
        <w:t>_________________</w:t>
      </w:r>
    </w:p>
    <w:p w14:paraId="476C74A6" w14:textId="77777777" w:rsidR="00B47383" w:rsidRDefault="00DF1280">
      <w:pPr>
        <w:jc w:val="center"/>
        <w:rPr>
          <w:szCs w:val="24"/>
          <w:lang w:eastAsia="lt-LT"/>
        </w:rPr>
      </w:pPr>
    </w:p>
    <w:p w14:paraId="06672B5A" w14:textId="77777777" w:rsidR="0013625C" w:rsidRDefault="0013625C">
      <w:pPr>
        <w:ind w:left="4535"/>
      </w:pPr>
    </w:p>
    <w:p w14:paraId="1E4B5317" w14:textId="77777777" w:rsidR="0013625C" w:rsidRDefault="0013625C">
      <w:r>
        <w:br w:type="page"/>
      </w:r>
    </w:p>
    <w:p w14:paraId="476C74A7" w14:textId="3EF6D4B7" w:rsidR="00B47383" w:rsidRDefault="0013625C">
      <w:pPr>
        <w:ind w:left="4535"/>
        <w:rPr>
          <w:szCs w:val="24"/>
          <w:lang w:eastAsia="lt-LT"/>
        </w:rPr>
      </w:pPr>
      <w:r>
        <w:rPr>
          <w:szCs w:val="24"/>
          <w:lang w:eastAsia="lt-LT"/>
        </w:rPr>
        <w:lastRenderedPageBreak/>
        <w:t>Elektros energijos rinkos kainos nustatymo metodikos</w:t>
      </w:r>
    </w:p>
    <w:p w14:paraId="476C74A8" w14:textId="77777777" w:rsidR="00B47383" w:rsidRDefault="0013625C">
      <w:pPr>
        <w:ind w:left="4535"/>
        <w:rPr>
          <w:szCs w:val="24"/>
          <w:lang w:eastAsia="lt-LT"/>
        </w:rPr>
      </w:pPr>
      <w:r>
        <w:rPr>
          <w:szCs w:val="24"/>
          <w:lang w:eastAsia="lt-LT"/>
        </w:rPr>
        <w:t>priedas</w:t>
      </w:r>
    </w:p>
    <w:p w14:paraId="476C74A9" w14:textId="77777777" w:rsidR="00B47383" w:rsidRDefault="00B47383">
      <w:pPr>
        <w:jc w:val="center"/>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1739"/>
        <w:gridCol w:w="3009"/>
        <w:gridCol w:w="1903"/>
      </w:tblGrid>
      <w:tr w:rsidR="00B47383" w14:paraId="476C74AE" w14:textId="77777777">
        <w:tc>
          <w:tcPr>
            <w:tcW w:w="3369" w:type="dxa"/>
            <w:tcBorders>
              <w:top w:val="single" w:sz="4" w:space="0" w:color="000000"/>
              <w:left w:val="single" w:sz="4" w:space="0" w:color="000000"/>
              <w:bottom w:val="single" w:sz="4" w:space="0" w:color="000000"/>
              <w:right w:val="single" w:sz="4" w:space="0" w:color="000000"/>
            </w:tcBorders>
          </w:tcPr>
          <w:p w14:paraId="476C74AA" w14:textId="77777777" w:rsidR="00B47383" w:rsidRDefault="0013625C">
            <w:pPr>
              <w:rPr>
                <w:bCs/>
                <w:szCs w:val="24"/>
                <w:lang w:eastAsia="lt-LT"/>
              </w:rPr>
            </w:pPr>
            <w:r>
              <w:rPr>
                <w:bCs/>
                <w:szCs w:val="24"/>
                <w:lang w:eastAsia="lt-LT"/>
              </w:rPr>
              <w:t>Duomenys apie ūkio subjektą:</w:t>
            </w:r>
          </w:p>
        </w:tc>
        <w:tc>
          <w:tcPr>
            <w:tcW w:w="3219" w:type="dxa"/>
            <w:tcBorders>
              <w:top w:val="single" w:sz="4" w:space="0" w:color="000000"/>
              <w:left w:val="single" w:sz="4" w:space="0" w:color="000000"/>
              <w:bottom w:val="single" w:sz="4" w:space="0" w:color="000000"/>
              <w:right w:val="single" w:sz="4" w:space="0" w:color="000000"/>
            </w:tcBorders>
          </w:tcPr>
          <w:p w14:paraId="476C74AB" w14:textId="77777777" w:rsidR="00B47383" w:rsidRDefault="00B47383">
            <w:pPr>
              <w:rPr>
                <w:bCs/>
                <w:szCs w:val="24"/>
                <w:lang w:eastAsia="lt-LT"/>
              </w:rPr>
            </w:pPr>
          </w:p>
        </w:tc>
        <w:tc>
          <w:tcPr>
            <w:tcW w:w="4719" w:type="dxa"/>
            <w:tcBorders>
              <w:top w:val="single" w:sz="4" w:space="0" w:color="000000"/>
              <w:left w:val="single" w:sz="4" w:space="0" w:color="000000"/>
              <w:bottom w:val="single" w:sz="4" w:space="0" w:color="000000"/>
              <w:right w:val="single" w:sz="4" w:space="0" w:color="000000"/>
            </w:tcBorders>
          </w:tcPr>
          <w:p w14:paraId="476C74AC" w14:textId="77777777" w:rsidR="00B47383" w:rsidRDefault="0013625C">
            <w:pPr>
              <w:rPr>
                <w:bCs/>
                <w:szCs w:val="24"/>
                <w:lang w:eastAsia="lt-LT"/>
              </w:rPr>
            </w:pPr>
            <w:r>
              <w:rPr>
                <w:bCs/>
                <w:szCs w:val="24"/>
                <w:lang w:eastAsia="lt-LT"/>
              </w:rPr>
              <w:t>Duomenys apie kontaktinį asmenį:</w:t>
            </w:r>
          </w:p>
        </w:tc>
        <w:tc>
          <w:tcPr>
            <w:tcW w:w="3543" w:type="dxa"/>
            <w:tcBorders>
              <w:top w:val="single" w:sz="4" w:space="0" w:color="000000"/>
              <w:left w:val="single" w:sz="4" w:space="0" w:color="000000"/>
              <w:bottom w:val="single" w:sz="4" w:space="0" w:color="000000"/>
              <w:right w:val="single" w:sz="4" w:space="0" w:color="000000"/>
            </w:tcBorders>
          </w:tcPr>
          <w:p w14:paraId="476C74AD" w14:textId="77777777" w:rsidR="00B47383" w:rsidRDefault="00B47383">
            <w:pPr>
              <w:rPr>
                <w:bCs/>
                <w:szCs w:val="24"/>
                <w:lang w:eastAsia="lt-LT"/>
              </w:rPr>
            </w:pPr>
          </w:p>
        </w:tc>
      </w:tr>
      <w:tr w:rsidR="00B47383" w14:paraId="476C74B3" w14:textId="77777777">
        <w:tc>
          <w:tcPr>
            <w:tcW w:w="3369" w:type="dxa"/>
            <w:tcBorders>
              <w:top w:val="single" w:sz="4" w:space="0" w:color="000000"/>
              <w:left w:val="single" w:sz="4" w:space="0" w:color="000000"/>
              <w:bottom w:val="single" w:sz="4" w:space="0" w:color="000000"/>
              <w:right w:val="single" w:sz="4" w:space="0" w:color="000000"/>
            </w:tcBorders>
          </w:tcPr>
          <w:p w14:paraId="476C74AF" w14:textId="77777777" w:rsidR="00B47383" w:rsidRDefault="0013625C">
            <w:pPr>
              <w:rPr>
                <w:bCs/>
                <w:szCs w:val="24"/>
                <w:lang w:eastAsia="lt-LT"/>
              </w:rPr>
            </w:pPr>
            <w:r>
              <w:rPr>
                <w:bCs/>
                <w:szCs w:val="24"/>
                <w:lang w:eastAsia="lt-LT"/>
              </w:rPr>
              <w:t>Pavadinimas</w:t>
            </w:r>
          </w:p>
        </w:tc>
        <w:tc>
          <w:tcPr>
            <w:tcW w:w="3219" w:type="dxa"/>
            <w:tcBorders>
              <w:top w:val="single" w:sz="4" w:space="0" w:color="000000"/>
              <w:left w:val="single" w:sz="4" w:space="0" w:color="000000"/>
              <w:bottom w:val="single" w:sz="4" w:space="0" w:color="000000"/>
              <w:right w:val="single" w:sz="4" w:space="0" w:color="000000"/>
            </w:tcBorders>
          </w:tcPr>
          <w:p w14:paraId="476C74B0" w14:textId="77777777" w:rsidR="00B47383" w:rsidRDefault="00B47383">
            <w:pPr>
              <w:rPr>
                <w:bCs/>
                <w:szCs w:val="24"/>
                <w:lang w:eastAsia="lt-LT"/>
              </w:rPr>
            </w:pPr>
          </w:p>
        </w:tc>
        <w:tc>
          <w:tcPr>
            <w:tcW w:w="4719" w:type="dxa"/>
            <w:tcBorders>
              <w:top w:val="single" w:sz="4" w:space="0" w:color="000000"/>
              <w:left w:val="single" w:sz="4" w:space="0" w:color="000000"/>
              <w:bottom w:val="single" w:sz="4" w:space="0" w:color="000000"/>
              <w:right w:val="single" w:sz="4" w:space="0" w:color="000000"/>
            </w:tcBorders>
          </w:tcPr>
          <w:p w14:paraId="476C74B1" w14:textId="77777777" w:rsidR="00B47383" w:rsidRDefault="0013625C">
            <w:pPr>
              <w:rPr>
                <w:bCs/>
                <w:szCs w:val="24"/>
                <w:lang w:eastAsia="lt-LT"/>
              </w:rPr>
            </w:pPr>
            <w:r>
              <w:rPr>
                <w:bCs/>
                <w:szCs w:val="24"/>
                <w:lang w:eastAsia="lt-LT"/>
              </w:rPr>
              <w:t>V., pavardė</w:t>
            </w:r>
          </w:p>
        </w:tc>
        <w:tc>
          <w:tcPr>
            <w:tcW w:w="3543" w:type="dxa"/>
            <w:tcBorders>
              <w:top w:val="single" w:sz="4" w:space="0" w:color="000000"/>
              <w:left w:val="single" w:sz="4" w:space="0" w:color="000000"/>
              <w:bottom w:val="single" w:sz="4" w:space="0" w:color="000000"/>
              <w:right w:val="single" w:sz="4" w:space="0" w:color="000000"/>
            </w:tcBorders>
          </w:tcPr>
          <w:p w14:paraId="476C74B2" w14:textId="77777777" w:rsidR="00B47383" w:rsidRDefault="00B47383">
            <w:pPr>
              <w:rPr>
                <w:bCs/>
                <w:szCs w:val="24"/>
                <w:lang w:eastAsia="lt-LT"/>
              </w:rPr>
            </w:pPr>
          </w:p>
        </w:tc>
      </w:tr>
      <w:tr w:rsidR="00B47383" w14:paraId="476C74B8" w14:textId="77777777">
        <w:tc>
          <w:tcPr>
            <w:tcW w:w="3369" w:type="dxa"/>
            <w:tcBorders>
              <w:top w:val="single" w:sz="4" w:space="0" w:color="000000"/>
              <w:left w:val="single" w:sz="4" w:space="0" w:color="000000"/>
              <w:bottom w:val="single" w:sz="4" w:space="0" w:color="000000"/>
              <w:right w:val="single" w:sz="4" w:space="0" w:color="000000"/>
            </w:tcBorders>
          </w:tcPr>
          <w:p w14:paraId="476C74B4" w14:textId="77777777" w:rsidR="00B47383" w:rsidRDefault="0013625C">
            <w:pPr>
              <w:rPr>
                <w:bCs/>
                <w:szCs w:val="24"/>
                <w:lang w:eastAsia="lt-LT"/>
              </w:rPr>
            </w:pPr>
            <w:r>
              <w:rPr>
                <w:bCs/>
                <w:szCs w:val="24"/>
                <w:lang w:eastAsia="lt-LT"/>
              </w:rPr>
              <w:t>Kodas</w:t>
            </w:r>
          </w:p>
        </w:tc>
        <w:tc>
          <w:tcPr>
            <w:tcW w:w="3219" w:type="dxa"/>
            <w:tcBorders>
              <w:top w:val="single" w:sz="4" w:space="0" w:color="000000"/>
              <w:left w:val="single" w:sz="4" w:space="0" w:color="000000"/>
              <w:bottom w:val="single" w:sz="4" w:space="0" w:color="000000"/>
              <w:right w:val="single" w:sz="4" w:space="0" w:color="000000"/>
            </w:tcBorders>
          </w:tcPr>
          <w:p w14:paraId="476C74B5" w14:textId="77777777" w:rsidR="00B47383" w:rsidRDefault="00B47383">
            <w:pPr>
              <w:rPr>
                <w:bCs/>
                <w:szCs w:val="24"/>
                <w:lang w:eastAsia="lt-LT"/>
              </w:rPr>
            </w:pPr>
          </w:p>
        </w:tc>
        <w:tc>
          <w:tcPr>
            <w:tcW w:w="4719" w:type="dxa"/>
            <w:tcBorders>
              <w:top w:val="single" w:sz="4" w:space="0" w:color="000000"/>
              <w:left w:val="single" w:sz="4" w:space="0" w:color="000000"/>
              <w:bottom w:val="single" w:sz="4" w:space="0" w:color="000000"/>
              <w:right w:val="single" w:sz="4" w:space="0" w:color="000000"/>
            </w:tcBorders>
          </w:tcPr>
          <w:p w14:paraId="476C74B6" w14:textId="77777777" w:rsidR="00B47383" w:rsidRDefault="0013625C">
            <w:pPr>
              <w:rPr>
                <w:bCs/>
                <w:szCs w:val="24"/>
                <w:lang w:eastAsia="lt-LT"/>
              </w:rPr>
            </w:pPr>
            <w:r>
              <w:rPr>
                <w:bCs/>
                <w:szCs w:val="24"/>
                <w:lang w:eastAsia="lt-LT"/>
              </w:rPr>
              <w:t xml:space="preserve">Pareigos </w:t>
            </w:r>
          </w:p>
        </w:tc>
        <w:tc>
          <w:tcPr>
            <w:tcW w:w="3543" w:type="dxa"/>
            <w:tcBorders>
              <w:top w:val="single" w:sz="4" w:space="0" w:color="000000"/>
              <w:left w:val="single" w:sz="4" w:space="0" w:color="000000"/>
              <w:bottom w:val="single" w:sz="4" w:space="0" w:color="000000"/>
              <w:right w:val="single" w:sz="4" w:space="0" w:color="000000"/>
            </w:tcBorders>
          </w:tcPr>
          <w:p w14:paraId="476C74B7" w14:textId="77777777" w:rsidR="00B47383" w:rsidRDefault="00B47383">
            <w:pPr>
              <w:rPr>
                <w:bCs/>
                <w:szCs w:val="24"/>
                <w:lang w:eastAsia="lt-LT"/>
              </w:rPr>
            </w:pPr>
          </w:p>
        </w:tc>
      </w:tr>
      <w:tr w:rsidR="00B47383" w14:paraId="476C74BD" w14:textId="77777777">
        <w:tc>
          <w:tcPr>
            <w:tcW w:w="3369" w:type="dxa"/>
            <w:tcBorders>
              <w:top w:val="single" w:sz="4" w:space="0" w:color="000000"/>
              <w:left w:val="single" w:sz="4" w:space="0" w:color="000000"/>
              <w:bottom w:val="single" w:sz="4" w:space="0" w:color="000000"/>
              <w:right w:val="single" w:sz="4" w:space="0" w:color="000000"/>
            </w:tcBorders>
          </w:tcPr>
          <w:p w14:paraId="476C74B9" w14:textId="77777777" w:rsidR="00B47383" w:rsidRDefault="0013625C">
            <w:pPr>
              <w:rPr>
                <w:bCs/>
                <w:szCs w:val="24"/>
                <w:lang w:eastAsia="lt-LT"/>
              </w:rPr>
            </w:pPr>
            <w:r>
              <w:rPr>
                <w:bCs/>
                <w:szCs w:val="24"/>
                <w:lang w:eastAsia="lt-LT"/>
              </w:rPr>
              <w:t>Buveinės adresas</w:t>
            </w:r>
          </w:p>
        </w:tc>
        <w:tc>
          <w:tcPr>
            <w:tcW w:w="3219" w:type="dxa"/>
            <w:tcBorders>
              <w:top w:val="single" w:sz="4" w:space="0" w:color="000000"/>
              <w:left w:val="single" w:sz="4" w:space="0" w:color="000000"/>
              <w:bottom w:val="single" w:sz="4" w:space="0" w:color="000000"/>
              <w:right w:val="single" w:sz="4" w:space="0" w:color="000000"/>
            </w:tcBorders>
          </w:tcPr>
          <w:p w14:paraId="476C74BA" w14:textId="77777777" w:rsidR="00B47383" w:rsidRDefault="00B47383">
            <w:pPr>
              <w:rPr>
                <w:bCs/>
                <w:szCs w:val="24"/>
                <w:lang w:eastAsia="lt-LT"/>
              </w:rPr>
            </w:pPr>
          </w:p>
        </w:tc>
        <w:tc>
          <w:tcPr>
            <w:tcW w:w="4719" w:type="dxa"/>
            <w:tcBorders>
              <w:top w:val="single" w:sz="4" w:space="0" w:color="000000"/>
              <w:left w:val="single" w:sz="4" w:space="0" w:color="000000"/>
              <w:bottom w:val="single" w:sz="4" w:space="0" w:color="000000"/>
              <w:right w:val="single" w:sz="4" w:space="0" w:color="000000"/>
            </w:tcBorders>
          </w:tcPr>
          <w:p w14:paraId="476C74BB" w14:textId="77777777" w:rsidR="00B47383" w:rsidRDefault="0013625C">
            <w:pPr>
              <w:rPr>
                <w:bCs/>
                <w:szCs w:val="24"/>
                <w:lang w:eastAsia="lt-LT"/>
              </w:rPr>
            </w:pPr>
            <w:r>
              <w:rPr>
                <w:bCs/>
                <w:szCs w:val="24"/>
                <w:lang w:eastAsia="lt-LT"/>
              </w:rPr>
              <w:t xml:space="preserve">Telefonas </w:t>
            </w:r>
          </w:p>
        </w:tc>
        <w:tc>
          <w:tcPr>
            <w:tcW w:w="3543" w:type="dxa"/>
            <w:tcBorders>
              <w:top w:val="single" w:sz="4" w:space="0" w:color="000000"/>
              <w:left w:val="single" w:sz="4" w:space="0" w:color="000000"/>
              <w:bottom w:val="single" w:sz="4" w:space="0" w:color="000000"/>
              <w:right w:val="single" w:sz="4" w:space="0" w:color="000000"/>
            </w:tcBorders>
          </w:tcPr>
          <w:p w14:paraId="476C74BC" w14:textId="77777777" w:rsidR="00B47383" w:rsidRDefault="00B47383">
            <w:pPr>
              <w:rPr>
                <w:bCs/>
                <w:szCs w:val="24"/>
                <w:lang w:eastAsia="lt-LT"/>
              </w:rPr>
            </w:pPr>
          </w:p>
        </w:tc>
      </w:tr>
      <w:tr w:rsidR="00B47383" w14:paraId="476C74C2" w14:textId="77777777">
        <w:tc>
          <w:tcPr>
            <w:tcW w:w="3369" w:type="dxa"/>
            <w:tcBorders>
              <w:top w:val="single" w:sz="4" w:space="0" w:color="000000"/>
              <w:left w:val="single" w:sz="4" w:space="0" w:color="000000"/>
              <w:bottom w:val="single" w:sz="4" w:space="0" w:color="000000"/>
              <w:right w:val="single" w:sz="4" w:space="0" w:color="000000"/>
            </w:tcBorders>
          </w:tcPr>
          <w:p w14:paraId="476C74BE" w14:textId="77777777" w:rsidR="00B47383" w:rsidRDefault="0013625C">
            <w:pPr>
              <w:rPr>
                <w:bCs/>
                <w:szCs w:val="24"/>
                <w:lang w:eastAsia="lt-LT"/>
              </w:rPr>
            </w:pPr>
            <w:r>
              <w:rPr>
                <w:bCs/>
                <w:szCs w:val="24"/>
                <w:lang w:eastAsia="lt-LT"/>
              </w:rPr>
              <w:t>Telefonas</w:t>
            </w:r>
          </w:p>
        </w:tc>
        <w:tc>
          <w:tcPr>
            <w:tcW w:w="3219" w:type="dxa"/>
            <w:tcBorders>
              <w:top w:val="single" w:sz="4" w:space="0" w:color="000000"/>
              <w:left w:val="single" w:sz="4" w:space="0" w:color="000000"/>
              <w:bottom w:val="single" w:sz="4" w:space="0" w:color="000000"/>
              <w:right w:val="single" w:sz="4" w:space="0" w:color="000000"/>
            </w:tcBorders>
          </w:tcPr>
          <w:p w14:paraId="476C74BF" w14:textId="77777777" w:rsidR="00B47383" w:rsidRDefault="00B47383">
            <w:pPr>
              <w:rPr>
                <w:bCs/>
                <w:szCs w:val="24"/>
                <w:lang w:eastAsia="lt-LT"/>
              </w:rPr>
            </w:pPr>
          </w:p>
        </w:tc>
        <w:tc>
          <w:tcPr>
            <w:tcW w:w="4719" w:type="dxa"/>
            <w:tcBorders>
              <w:top w:val="single" w:sz="4" w:space="0" w:color="000000"/>
              <w:left w:val="single" w:sz="4" w:space="0" w:color="000000"/>
              <w:bottom w:val="single" w:sz="4" w:space="0" w:color="000000"/>
              <w:right w:val="single" w:sz="4" w:space="0" w:color="000000"/>
            </w:tcBorders>
          </w:tcPr>
          <w:p w14:paraId="476C74C0" w14:textId="77777777" w:rsidR="00B47383" w:rsidRDefault="0013625C">
            <w:pPr>
              <w:rPr>
                <w:bCs/>
                <w:szCs w:val="24"/>
                <w:lang w:eastAsia="lt-LT"/>
              </w:rPr>
            </w:pPr>
            <w:r>
              <w:rPr>
                <w:bCs/>
                <w:szCs w:val="24"/>
                <w:lang w:eastAsia="lt-LT"/>
              </w:rPr>
              <w:t xml:space="preserve">Faksas </w:t>
            </w:r>
          </w:p>
        </w:tc>
        <w:tc>
          <w:tcPr>
            <w:tcW w:w="3543" w:type="dxa"/>
            <w:tcBorders>
              <w:top w:val="single" w:sz="4" w:space="0" w:color="000000"/>
              <w:left w:val="single" w:sz="4" w:space="0" w:color="000000"/>
              <w:bottom w:val="single" w:sz="4" w:space="0" w:color="000000"/>
              <w:right w:val="single" w:sz="4" w:space="0" w:color="000000"/>
            </w:tcBorders>
          </w:tcPr>
          <w:p w14:paraId="476C74C1" w14:textId="77777777" w:rsidR="00B47383" w:rsidRDefault="00B47383">
            <w:pPr>
              <w:rPr>
                <w:bCs/>
                <w:szCs w:val="24"/>
                <w:lang w:eastAsia="lt-LT"/>
              </w:rPr>
            </w:pPr>
          </w:p>
        </w:tc>
      </w:tr>
      <w:tr w:rsidR="00B47383" w14:paraId="476C74C7" w14:textId="77777777">
        <w:tc>
          <w:tcPr>
            <w:tcW w:w="3369" w:type="dxa"/>
            <w:tcBorders>
              <w:top w:val="single" w:sz="4" w:space="0" w:color="000000"/>
              <w:left w:val="single" w:sz="4" w:space="0" w:color="000000"/>
              <w:bottom w:val="single" w:sz="4" w:space="0" w:color="000000"/>
              <w:right w:val="single" w:sz="4" w:space="0" w:color="000000"/>
            </w:tcBorders>
          </w:tcPr>
          <w:p w14:paraId="476C74C3" w14:textId="77777777" w:rsidR="00B47383" w:rsidRDefault="0013625C">
            <w:pPr>
              <w:rPr>
                <w:bCs/>
                <w:szCs w:val="24"/>
                <w:lang w:eastAsia="lt-LT"/>
              </w:rPr>
            </w:pPr>
            <w:r>
              <w:rPr>
                <w:bCs/>
                <w:szCs w:val="24"/>
                <w:lang w:eastAsia="lt-LT"/>
              </w:rPr>
              <w:t>Faksas</w:t>
            </w:r>
          </w:p>
        </w:tc>
        <w:tc>
          <w:tcPr>
            <w:tcW w:w="3219" w:type="dxa"/>
            <w:tcBorders>
              <w:top w:val="single" w:sz="4" w:space="0" w:color="000000"/>
              <w:left w:val="single" w:sz="4" w:space="0" w:color="000000"/>
              <w:bottom w:val="single" w:sz="4" w:space="0" w:color="000000"/>
              <w:right w:val="single" w:sz="4" w:space="0" w:color="000000"/>
            </w:tcBorders>
          </w:tcPr>
          <w:p w14:paraId="476C74C4" w14:textId="77777777" w:rsidR="00B47383" w:rsidRDefault="00B47383">
            <w:pPr>
              <w:rPr>
                <w:bCs/>
                <w:szCs w:val="24"/>
                <w:lang w:eastAsia="lt-LT"/>
              </w:rPr>
            </w:pPr>
          </w:p>
        </w:tc>
        <w:tc>
          <w:tcPr>
            <w:tcW w:w="4719" w:type="dxa"/>
            <w:tcBorders>
              <w:top w:val="single" w:sz="4" w:space="0" w:color="000000"/>
              <w:left w:val="single" w:sz="4" w:space="0" w:color="000000"/>
              <w:bottom w:val="single" w:sz="4" w:space="0" w:color="000000"/>
              <w:right w:val="single" w:sz="4" w:space="0" w:color="000000"/>
            </w:tcBorders>
          </w:tcPr>
          <w:p w14:paraId="476C74C5" w14:textId="77777777" w:rsidR="00B47383" w:rsidRDefault="0013625C">
            <w:pPr>
              <w:rPr>
                <w:bCs/>
                <w:szCs w:val="24"/>
                <w:lang w:eastAsia="lt-LT"/>
              </w:rPr>
            </w:pPr>
            <w:r>
              <w:rPr>
                <w:bCs/>
                <w:szCs w:val="24"/>
                <w:lang w:eastAsia="lt-LT"/>
              </w:rPr>
              <w:t>El. paštas</w:t>
            </w:r>
          </w:p>
        </w:tc>
        <w:tc>
          <w:tcPr>
            <w:tcW w:w="3543" w:type="dxa"/>
            <w:tcBorders>
              <w:top w:val="single" w:sz="4" w:space="0" w:color="000000"/>
              <w:left w:val="single" w:sz="4" w:space="0" w:color="000000"/>
              <w:bottom w:val="single" w:sz="4" w:space="0" w:color="000000"/>
              <w:right w:val="single" w:sz="4" w:space="0" w:color="000000"/>
            </w:tcBorders>
          </w:tcPr>
          <w:p w14:paraId="476C74C6" w14:textId="77777777" w:rsidR="00B47383" w:rsidRDefault="00B47383">
            <w:pPr>
              <w:rPr>
                <w:bCs/>
                <w:szCs w:val="24"/>
                <w:lang w:eastAsia="lt-LT"/>
              </w:rPr>
            </w:pPr>
          </w:p>
        </w:tc>
      </w:tr>
      <w:tr w:rsidR="00B47383" w14:paraId="476C74CC" w14:textId="77777777">
        <w:tc>
          <w:tcPr>
            <w:tcW w:w="3369" w:type="dxa"/>
            <w:tcBorders>
              <w:top w:val="single" w:sz="4" w:space="0" w:color="000000"/>
              <w:left w:val="single" w:sz="4" w:space="0" w:color="000000"/>
              <w:bottom w:val="single" w:sz="4" w:space="0" w:color="000000"/>
              <w:right w:val="single" w:sz="4" w:space="0" w:color="000000"/>
            </w:tcBorders>
          </w:tcPr>
          <w:p w14:paraId="476C74C8" w14:textId="77777777" w:rsidR="00B47383" w:rsidRDefault="0013625C">
            <w:pPr>
              <w:rPr>
                <w:bCs/>
                <w:szCs w:val="24"/>
                <w:lang w:eastAsia="lt-LT"/>
              </w:rPr>
            </w:pPr>
            <w:r>
              <w:rPr>
                <w:bCs/>
                <w:szCs w:val="24"/>
                <w:lang w:eastAsia="lt-LT"/>
              </w:rPr>
              <w:t>Tinklalapis</w:t>
            </w:r>
          </w:p>
        </w:tc>
        <w:tc>
          <w:tcPr>
            <w:tcW w:w="3219" w:type="dxa"/>
            <w:tcBorders>
              <w:top w:val="single" w:sz="4" w:space="0" w:color="000000"/>
              <w:left w:val="single" w:sz="4" w:space="0" w:color="000000"/>
              <w:bottom w:val="single" w:sz="4" w:space="0" w:color="000000"/>
              <w:right w:val="single" w:sz="4" w:space="0" w:color="000000"/>
            </w:tcBorders>
          </w:tcPr>
          <w:p w14:paraId="476C74C9" w14:textId="77777777" w:rsidR="00B47383" w:rsidRDefault="00B47383">
            <w:pPr>
              <w:rPr>
                <w:bCs/>
                <w:szCs w:val="24"/>
                <w:lang w:eastAsia="lt-LT"/>
              </w:rPr>
            </w:pPr>
          </w:p>
        </w:tc>
        <w:tc>
          <w:tcPr>
            <w:tcW w:w="4719" w:type="dxa"/>
            <w:tcBorders>
              <w:top w:val="single" w:sz="4" w:space="0" w:color="000000"/>
              <w:left w:val="single" w:sz="4" w:space="0" w:color="000000"/>
              <w:bottom w:val="single" w:sz="4" w:space="0" w:color="000000"/>
              <w:right w:val="single" w:sz="4" w:space="0" w:color="000000"/>
            </w:tcBorders>
          </w:tcPr>
          <w:p w14:paraId="476C74CA" w14:textId="77777777" w:rsidR="00B47383" w:rsidRDefault="00B47383">
            <w:pPr>
              <w:rPr>
                <w:bCs/>
                <w:szCs w:val="24"/>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476C74CB" w14:textId="77777777" w:rsidR="00B47383" w:rsidRDefault="00B47383">
            <w:pPr>
              <w:rPr>
                <w:bCs/>
                <w:szCs w:val="24"/>
                <w:lang w:eastAsia="lt-LT"/>
              </w:rPr>
            </w:pPr>
          </w:p>
        </w:tc>
      </w:tr>
      <w:tr w:rsidR="00B47383" w14:paraId="476C74D1" w14:textId="77777777">
        <w:tc>
          <w:tcPr>
            <w:tcW w:w="3369" w:type="dxa"/>
            <w:tcBorders>
              <w:top w:val="single" w:sz="4" w:space="0" w:color="000000"/>
              <w:left w:val="single" w:sz="4" w:space="0" w:color="000000"/>
              <w:bottom w:val="single" w:sz="4" w:space="0" w:color="000000"/>
              <w:right w:val="single" w:sz="4" w:space="0" w:color="000000"/>
            </w:tcBorders>
          </w:tcPr>
          <w:p w14:paraId="476C74CD" w14:textId="77777777" w:rsidR="00B47383" w:rsidRDefault="0013625C">
            <w:pPr>
              <w:rPr>
                <w:bCs/>
                <w:szCs w:val="24"/>
                <w:lang w:eastAsia="lt-LT"/>
              </w:rPr>
            </w:pPr>
            <w:r>
              <w:rPr>
                <w:bCs/>
                <w:szCs w:val="24"/>
                <w:lang w:eastAsia="lt-LT"/>
              </w:rPr>
              <w:t>El. paštas</w:t>
            </w:r>
          </w:p>
        </w:tc>
        <w:tc>
          <w:tcPr>
            <w:tcW w:w="3219" w:type="dxa"/>
            <w:tcBorders>
              <w:top w:val="single" w:sz="4" w:space="0" w:color="000000"/>
              <w:left w:val="single" w:sz="4" w:space="0" w:color="000000"/>
              <w:bottom w:val="single" w:sz="4" w:space="0" w:color="000000"/>
              <w:right w:val="single" w:sz="4" w:space="0" w:color="000000"/>
            </w:tcBorders>
          </w:tcPr>
          <w:p w14:paraId="476C74CE" w14:textId="77777777" w:rsidR="00B47383" w:rsidRDefault="00B47383">
            <w:pPr>
              <w:rPr>
                <w:bCs/>
                <w:szCs w:val="24"/>
                <w:lang w:eastAsia="lt-LT"/>
              </w:rPr>
            </w:pPr>
          </w:p>
        </w:tc>
        <w:tc>
          <w:tcPr>
            <w:tcW w:w="4719" w:type="dxa"/>
            <w:tcBorders>
              <w:top w:val="single" w:sz="4" w:space="0" w:color="000000"/>
              <w:left w:val="single" w:sz="4" w:space="0" w:color="000000"/>
              <w:bottom w:val="single" w:sz="4" w:space="0" w:color="000000"/>
              <w:right w:val="single" w:sz="4" w:space="0" w:color="000000"/>
            </w:tcBorders>
          </w:tcPr>
          <w:p w14:paraId="476C74CF" w14:textId="77777777" w:rsidR="00B47383" w:rsidRDefault="00B47383">
            <w:pPr>
              <w:rPr>
                <w:bCs/>
                <w:szCs w:val="24"/>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476C74D0" w14:textId="77777777" w:rsidR="00B47383" w:rsidRDefault="00B47383">
            <w:pPr>
              <w:rPr>
                <w:bCs/>
                <w:szCs w:val="24"/>
                <w:lang w:eastAsia="lt-LT"/>
              </w:rPr>
            </w:pPr>
          </w:p>
        </w:tc>
      </w:tr>
    </w:tbl>
    <w:p w14:paraId="476C74D2" w14:textId="77777777" w:rsidR="00B47383" w:rsidRDefault="00B47383">
      <w:pPr>
        <w:jc w:val="center"/>
        <w:rPr>
          <w:szCs w:val="24"/>
          <w:lang w:eastAsia="lt-LT"/>
        </w:rPr>
      </w:pPr>
    </w:p>
    <w:p w14:paraId="476C74D3" w14:textId="517567D1" w:rsidR="00B47383" w:rsidRDefault="0013625C">
      <w:pPr>
        <w:jc w:val="center"/>
        <w:rPr>
          <w:szCs w:val="24"/>
          <w:lang w:eastAsia="lt-LT"/>
        </w:rPr>
      </w:pPr>
      <w:r>
        <w:rPr>
          <w:b/>
          <w:bCs/>
          <w:szCs w:val="24"/>
          <w:lang w:eastAsia="lt-LT"/>
        </w:rPr>
        <w:t>DIDMENINĖS PREKYBOS PAGALBINIAIS INSTRUMENTAIS ATASKAITA</w:t>
      </w:r>
    </w:p>
    <w:p w14:paraId="476C74D4" w14:textId="77777777" w:rsidR="00B47383" w:rsidRDefault="00B47383">
      <w:pPr>
        <w:jc w:val="center"/>
        <w:rPr>
          <w:szCs w:val="24"/>
          <w:lang w:eastAsia="lt-LT"/>
        </w:rPr>
      </w:pPr>
    </w:p>
    <w:p w14:paraId="476C74D5" w14:textId="77777777" w:rsidR="00B47383" w:rsidRDefault="0013625C">
      <w:pPr>
        <w:jc w:val="center"/>
        <w:rPr>
          <w:szCs w:val="24"/>
          <w:lang w:eastAsia="lt-LT"/>
        </w:rPr>
      </w:pPr>
      <w:r>
        <w:rPr>
          <w:szCs w:val="24"/>
          <w:lang w:eastAsia="lt-LT"/>
        </w:rPr>
        <w:t>__________________</w:t>
      </w:r>
    </w:p>
    <w:p w14:paraId="476C74D6" w14:textId="77777777" w:rsidR="00B47383" w:rsidRDefault="0013625C">
      <w:pPr>
        <w:jc w:val="center"/>
        <w:rPr>
          <w:szCs w:val="24"/>
          <w:lang w:eastAsia="lt-LT"/>
        </w:rPr>
      </w:pPr>
      <w:r>
        <w:rPr>
          <w:szCs w:val="24"/>
          <w:lang w:eastAsia="lt-LT"/>
        </w:rPr>
        <w:t>(sudarymo data)</w:t>
      </w:r>
    </w:p>
    <w:p w14:paraId="476C74D7" w14:textId="77777777" w:rsidR="00B47383" w:rsidRDefault="00B47383">
      <w:pPr>
        <w:jc w:val="center"/>
        <w:rPr>
          <w:szCs w:val="24"/>
          <w:lang w:eastAsia="lt-LT"/>
        </w:rPr>
      </w:pPr>
    </w:p>
    <w:p w14:paraId="476C74D8" w14:textId="77777777" w:rsidR="00B47383" w:rsidRDefault="0013625C">
      <w:pPr>
        <w:rPr>
          <w:szCs w:val="24"/>
          <w:lang w:eastAsia="lt-LT"/>
        </w:rPr>
      </w:pPr>
      <w:r>
        <w:rPr>
          <w:szCs w:val="24"/>
          <w:lang w:eastAsia="lt-LT"/>
        </w:rPr>
        <w:t>Valstybinei kainų ir energetikos kontrolės komisijai</w:t>
      </w:r>
    </w:p>
    <w:p w14:paraId="476C74D9" w14:textId="77777777" w:rsidR="00B47383" w:rsidRDefault="0013625C">
      <w:pPr>
        <w:rPr>
          <w:szCs w:val="24"/>
          <w:lang w:eastAsia="lt-LT"/>
        </w:rPr>
      </w:pPr>
      <w:r>
        <w:rPr>
          <w:szCs w:val="24"/>
          <w:lang w:eastAsia="lt-LT"/>
        </w:rPr>
        <w:t>Verkių g. 25C, Vilnius, LT-08223, rastine@regula.lt</w:t>
      </w:r>
    </w:p>
    <w:p w14:paraId="476C74DA" w14:textId="77777777" w:rsidR="00B47383" w:rsidRDefault="00B47383">
      <w:pPr>
        <w:ind w:right="612"/>
        <w:rPr>
          <w:szCs w:val="24"/>
          <w:lang w:eastAsia="lt-LT"/>
        </w:rPr>
      </w:pPr>
    </w:p>
    <w:tbl>
      <w:tblPr>
        <w:tblW w:w="9070" w:type="dxa"/>
        <w:tblLayout w:type="fixed"/>
        <w:tblLook w:val="0000" w:firstRow="0" w:lastRow="0" w:firstColumn="0" w:lastColumn="0" w:noHBand="0" w:noVBand="0"/>
      </w:tblPr>
      <w:tblGrid>
        <w:gridCol w:w="601"/>
        <w:gridCol w:w="2770"/>
        <w:gridCol w:w="860"/>
        <w:gridCol w:w="860"/>
        <w:gridCol w:w="860"/>
        <w:gridCol w:w="860"/>
        <w:gridCol w:w="539"/>
        <w:gridCol w:w="860"/>
        <w:gridCol w:w="860"/>
      </w:tblGrid>
      <w:tr w:rsidR="00B47383" w14:paraId="476C74E4" w14:textId="77777777">
        <w:tc>
          <w:tcPr>
            <w:tcW w:w="332" w:type="pct"/>
            <w:vMerge w:val="restart"/>
            <w:tcBorders>
              <w:top w:val="single" w:sz="4" w:space="0" w:color="auto"/>
              <w:left w:val="single" w:sz="4" w:space="0" w:color="auto"/>
              <w:right w:val="single" w:sz="4" w:space="0" w:color="auto"/>
            </w:tcBorders>
            <w:vAlign w:val="center"/>
          </w:tcPr>
          <w:p w14:paraId="476C74DB" w14:textId="77777777" w:rsidR="00B47383" w:rsidRDefault="0013625C">
            <w:pPr>
              <w:rPr>
                <w:sz w:val="20"/>
                <w:lang w:eastAsia="lt-LT"/>
              </w:rPr>
            </w:pPr>
            <w:r>
              <w:rPr>
                <w:sz w:val="20"/>
                <w:lang w:eastAsia="lt-LT"/>
              </w:rPr>
              <w:t>Eil. Nr.</w:t>
            </w:r>
          </w:p>
        </w:tc>
        <w:tc>
          <w:tcPr>
            <w:tcW w:w="1527" w:type="pct"/>
            <w:vMerge w:val="restart"/>
            <w:tcBorders>
              <w:top w:val="single" w:sz="4" w:space="0" w:color="auto"/>
              <w:left w:val="nil"/>
              <w:right w:val="single" w:sz="4" w:space="0" w:color="auto"/>
            </w:tcBorders>
            <w:vAlign w:val="center"/>
          </w:tcPr>
          <w:p w14:paraId="476C74DC" w14:textId="77777777" w:rsidR="00B47383" w:rsidRDefault="0013625C">
            <w:pPr>
              <w:jc w:val="center"/>
              <w:rPr>
                <w:sz w:val="20"/>
                <w:lang w:eastAsia="lt-LT"/>
              </w:rPr>
            </w:pPr>
            <w:r>
              <w:rPr>
                <w:sz w:val="20"/>
                <w:lang w:eastAsia="lt-LT"/>
              </w:rPr>
              <w:t>Rodiklio pavadinimas</w:t>
            </w:r>
          </w:p>
        </w:tc>
        <w:tc>
          <w:tcPr>
            <w:tcW w:w="474" w:type="pct"/>
            <w:tcBorders>
              <w:top w:val="single" w:sz="4" w:space="0" w:color="auto"/>
              <w:left w:val="nil"/>
              <w:bottom w:val="single" w:sz="4" w:space="0" w:color="auto"/>
              <w:right w:val="single" w:sz="4" w:space="0" w:color="auto"/>
            </w:tcBorders>
            <w:vAlign w:val="center"/>
          </w:tcPr>
          <w:p w14:paraId="476C74DD" w14:textId="77777777" w:rsidR="00B47383" w:rsidRDefault="0013625C">
            <w:pPr>
              <w:jc w:val="center"/>
              <w:rPr>
                <w:sz w:val="20"/>
                <w:lang w:eastAsia="lt-LT"/>
              </w:rPr>
            </w:pPr>
            <w:r>
              <w:rPr>
                <w:sz w:val="20"/>
                <w:lang w:eastAsia="lt-LT"/>
              </w:rPr>
              <w:t>Tūkst. kWh</w:t>
            </w:r>
          </w:p>
        </w:tc>
        <w:tc>
          <w:tcPr>
            <w:tcW w:w="474" w:type="pct"/>
            <w:tcBorders>
              <w:top w:val="single" w:sz="4" w:space="0" w:color="auto"/>
              <w:left w:val="nil"/>
              <w:bottom w:val="single" w:sz="4" w:space="0" w:color="auto"/>
              <w:right w:val="single" w:sz="4" w:space="0" w:color="auto"/>
            </w:tcBorders>
            <w:vAlign w:val="center"/>
          </w:tcPr>
          <w:p w14:paraId="476C74DE" w14:textId="77777777" w:rsidR="00B47383" w:rsidRDefault="0013625C">
            <w:pPr>
              <w:jc w:val="center"/>
              <w:rPr>
                <w:sz w:val="20"/>
                <w:lang w:eastAsia="lt-LT"/>
              </w:rPr>
            </w:pPr>
            <w:r>
              <w:rPr>
                <w:sz w:val="20"/>
                <w:lang w:eastAsia="lt-LT"/>
              </w:rPr>
              <w:t>Tūkst. Lt</w:t>
            </w:r>
          </w:p>
        </w:tc>
        <w:tc>
          <w:tcPr>
            <w:tcW w:w="474" w:type="pct"/>
            <w:tcBorders>
              <w:top w:val="single" w:sz="4" w:space="0" w:color="auto"/>
              <w:left w:val="nil"/>
              <w:bottom w:val="single" w:sz="4" w:space="0" w:color="auto"/>
              <w:right w:val="single" w:sz="4" w:space="0" w:color="auto"/>
            </w:tcBorders>
          </w:tcPr>
          <w:p w14:paraId="476C74DF" w14:textId="77777777" w:rsidR="00B47383" w:rsidRDefault="0013625C">
            <w:pPr>
              <w:jc w:val="center"/>
              <w:rPr>
                <w:sz w:val="20"/>
                <w:lang w:eastAsia="lt-LT"/>
              </w:rPr>
            </w:pPr>
            <w:r>
              <w:rPr>
                <w:sz w:val="20"/>
                <w:lang w:eastAsia="lt-LT"/>
              </w:rPr>
              <w:t>Tūkst. kWh</w:t>
            </w:r>
          </w:p>
        </w:tc>
        <w:tc>
          <w:tcPr>
            <w:tcW w:w="474" w:type="pct"/>
            <w:tcBorders>
              <w:top w:val="single" w:sz="4" w:space="0" w:color="auto"/>
              <w:left w:val="nil"/>
              <w:bottom w:val="single" w:sz="4" w:space="0" w:color="auto"/>
              <w:right w:val="single" w:sz="4" w:space="0" w:color="auto"/>
            </w:tcBorders>
          </w:tcPr>
          <w:p w14:paraId="476C74E0" w14:textId="77777777" w:rsidR="00B47383" w:rsidRDefault="0013625C">
            <w:pPr>
              <w:jc w:val="center"/>
              <w:rPr>
                <w:sz w:val="20"/>
                <w:lang w:eastAsia="lt-LT"/>
              </w:rPr>
            </w:pPr>
            <w:r>
              <w:rPr>
                <w:sz w:val="20"/>
                <w:lang w:eastAsia="lt-LT"/>
              </w:rPr>
              <w:t>Tūkst. Lt</w:t>
            </w:r>
          </w:p>
        </w:tc>
        <w:tc>
          <w:tcPr>
            <w:tcW w:w="297" w:type="pct"/>
            <w:tcBorders>
              <w:top w:val="single" w:sz="4" w:space="0" w:color="auto"/>
              <w:left w:val="nil"/>
              <w:bottom w:val="single" w:sz="4" w:space="0" w:color="auto"/>
              <w:right w:val="single" w:sz="4" w:space="0" w:color="auto"/>
            </w:tcBorders>
          </w:tcPr>
          <w:p w14:paraId="476C74E1" w14:textId="77777777" w:rsidR="00B47383" w:rsidRDefault="0013625C">
            <w:pPr>
              <w:jc w:val="center"/>
              <w:rPr>
                <w:sz w:val="20"/>
                <w:lang w:eastAsia="lt-LT"/>
              </w:rPr>
            </w:pPr>
            <w:r>
              <w:rPr>
                <w:sz w:val="20"/>
                <w:lang w:eastAsia="lt-LT"/>
              </w:rPr>
              <w:t>.....</w:t>
            </w:r>
          </w:p>
        </w:tc>
        <w:tc>
          <w:tcPr>
            <w:tcW w:w="474" w:type="pct"/>
            <w:tcBorders>
              <w:top w:val="single" w:sz="4" w:space="0" w:color="auto"/>
              <w:left w:val="nil"/>
              <w:bottom w:val="single" w:sz="4" w:space="0" w:color="auto"/>
              <w:right w:val="single" w:sz="4" w:space="0" w:color="auto"/>
            </w:tcBorders>
          </w:tcPr>
          <w:p w14:paraId="476C74E2" w14:textId="77777777" w:rsidR="00B47383" w:rsidRDefault="0013625C">
            <w:pPr>
              <w:jc w:val="center"/>
              <w:rPr>
                <w:sz w:val="20"/>
                <w:lang w:eastAsia="lt-LT"/>
              </w:rPr>
            </w:pPr>
            <w:r>
              <w:rPr>
                <w:sz w:val="20"/>
                <w:lang w:eastAsia="lt-LT"/>
              </w:rPr>
              <w:t>Tūkst. kWh</w:t>
            </w:r>
          </w:p>
        </w:tc>
        <w:tc>
          <w:tcPr>
            <w:tcW w:w="474" w:type="pct"/>
            <w:tcBorders>
              <w:top w:val="single" w:sz="4" w:space="0" w:color="auto"/>
              <w:left w:val="nil"/>
              <w:bottom w:val="single" w:sz="4" w:space="0" w:color="auto"/>
              <w:right w:val="single" w:sz="4" w:space="0" w:color="auto"/>
            </w:tcBorders>
          </w:tcPr>
          <w:p w14:paraId="476C74E3" w14:textId="77777777" w:rsidR="00B47383" w:rsidRDefault="0013625C">
            <w:pPr>
              <w:jc w:val="center"/>
              <w:rPr>
                <w:sz w:val="20"/>
                <w:lang w:eastAsia="lt-LT"/>
              </w:rPr>
            </w:pPr>
            <w:r>
              <w:rPr>
                <w:sz w:val="20"/>
                <w:lang w:eastAsia="lt-LT"/>
              </w:rPr>
              <w:t>Tūkst. Lt</w:t>
            </w:r>
          </w:p>
        </w:tc>
      </w:tr>
      <w:tr w:rsidR="00B47383" w14:paraId="476C74EB" w14:textId="77777777">
        <w:tc>
          <w:tcPr>
            <w:tcW w:w="332" w:type="pct"/>
            <w:vMerge/>
            <w:tcBorders>
              <w:left w:val="single" w:sz="4" w:space="0" w:color="auto"/>
              <w:bottom w:val="single" w:sz="4" w:space="0" w:color="auto"/>
              <w:right w:val="single" w:sz="4" w:space="0" w:color="auto"/>
            </w:tcBorders>
            <w:vAlign w:val="center"/>
          </w:tcPr>
          <w:p w14:paraId="476C74E5" w14:textId="77777777" w:rsidR="00B47383" w:rsidRDefault="00B47383">
            <w:pPr>
              <w:jc w:val="center"/>
              <w:rPr>
                <w:sz w:val="20"/>
                <w:lang w:eastAsia="lt-LT"/>
              </w:rPr>
            </w:pPr>
          </w:p>
        </w:tc>
        <w:tc>
          <w:tcPr>
            <w:tcW w:w="1527" w:type="pct"/>
            <w:vMerge/>
            <w:tcBorders>
              <w:left w:val="nil"/>
              <w:bottom w:val="single" w:sz="4" w:space="0" w:color="auto"/>
              <w:right w:val="single" w:sz="4" w:space="0" w:color="auto"/>
            </w:tcBorders>
            <w:vAlign w:val="center"/>
          </w:tcPr>
          <w:p w14:paraId="476C74E6" w14:textId="77777777" w:rsidR="00B47383" w:rsidRDefault="00B47383">
            <w:pPr>
              <w:jc w:val="center"/>
              <w:rPr>
                <w:sz w:val="20"/>
                <w:lang w:eastAsia="lt-LT"/>
              </w:rPr>
            </w:pPr>
          </w:p>
        </w:tc>
        <w:tc>
          <w:tcPr>
            <w:tcW w:w="948" w:type="pct"/>
            <w:gridSpan w:val="2"/>
            <w:tcBorders>
              <w:top w:val="single" w:sz="4" w:space="0" w:color="auto"/>
              <w:left w:val="nil"/>
              <w:bottom w:val="single" w:sz="4" w:space="0" w:color="auto"/>
              <w:right w:val="single" w:sz="4" w:space="0" w:color="auto"/>
            </w:tcBorders>
            <w:vAlign w:val="center"/>
          </w:tcPr>
          <w:p w14:paraId="476C74E7" w14:textId="77777777" w:rsidR="00B47383" w:rsidRDefault="0013625C">
            <w:pPr>
              <w:jc w:val="center"/>
              <w:rPr>
                <w:sz w:val="20"/>
                <w:lang w:eastAsia="lt-LT"/>
              </w:rPr>
            </w:pPr>
            <w:r>
              <w:rPr>
                <w:sz w:val="20"/>
                <w:lang w:eastAsia="lt-LT"/>
              </w:rPr>
              <w:t>Liepa</w:t>
            </w:r>
          </w:p>
        </w:tc>
        <w:tc>
          <w:tcPr>
            <w:tcW w:w="948" w:type="pct"/>
            <w:gridSpan w:val="2"/>
            <w:tcBorders>
              <w:top w:val="single" w:sz="4" w:space="0" w:color="auto"/>
              <w:left w:val="nil"/>
              <w:bottom w:val="single" w:sz="4" w:space="0" w:color="auto"/>
              <w:right w:val="single" w:sz="4" w:space="0" w:color="auto"/>
            </w:tcBorders>
          </w:tcPr>
          <w:p w14:paraId="476C74E8" w14:textId="77777777" w:rsidR="00B47383" w:rsidRDefault="0013625C">
            <w:pPr>
              <w:jc w:val="center"/>
              <w:rPr>
                <w:sz w:val="20"/>
                <w:lang w:eastAsia="lt-LT"/>
              </w:rPr>
            </w:pPr>
            <w:r>
              <w:rPr>
                <w:sz w:val="20"/>
                <w:lang w:eastAsia="lt-LT"/>
              </w:rPr>
              <w:t>Rugpjūtis</w:t>
            </w:r>
          </w:p>
        </w:tc>
        <w:tc>
          <w:tcPr>
            <w:tcW w:w="297" w:type="pct"/>
            <w:tcBorders>
              <w:top w:val="single" w:sz="4" w:space="0" w:color="auto"/>
              <w:left w:val="nil"/>
              <w:bottom w:val="single" w:sz="4" w:space="0" w:color="auto"/>
              <w:right w:val="single" w:sz="4" w:space="0" w:color="auto"/>
            </w:tcBorders>
          </w:tcPr>
          <w:p w14:paraId="476C74E9" w14:textId="77777777" w:rsidR="00B47383" w:rsidRDefault="0013625C">
            <w:pPr>
              <w:jc w:val="center"/>
              <w:rPr>
                <w:sz w:val="20"/>
                <w:lang w:eastAsia="lt-LT"/>
              </w:rPr>
            </w:pPr>
            <w:r>
              <w:rPr>
                <w:sz w:val="20"/>
                <w:lang w:eastAsia="lt-LT"/>
              </w:rPr>
              <w:t>.....</w:t>
            </w:r>
          </w:p>
        </w:tc>
        <w:tc>
          <w:tcPr>
            <w:tcW w:w="948" w:type="pct"/>
            <w:gridSpan w:val="2"/>
            <w:tcBorders>
              <w:top w:val="single" w:sz="4" w:space="0" w:color="auto"/>
              <w:left w:val="nil"/>
              <w:bottom w:val="single" w:sz="4" w:space="0" w:color="auto"/>
              <w:right w:val="single" w:sz="4" w:space="0" w:color="auto"/>
            </w:tcBorders>
          </w:tcPr>
          <w:p w14:paraId="476C74EA" w14:textId="77777777" w:rsidR="00B47383" w:rsidRDefault="0013625C">
            <w:pPr>
              <w:jc w:val="center"/>
              <w:rPr>
                <w:sz w:val="20"/>
                <w:lang w:eastAsia="lt-LT"/>
              </w:rPr>
            </w:pPr>
            <w:r>
              <w:rPr>
                <w:sz w:val="20"/>
                <w:lang w:eastAsia="lt-LT"/>
              </w:rPr>
              <w:t>Birželis</w:t>
            </w:r>
          </w:p>
        </w:tc>
      </w:tr>
      <w:tr w:rsidR="00B47383" w14:paraId="476C74F5" w14:textId="77777777">
        <w:tc>
          <w:tcPr>
            <w:tcW w:w="332" w:type="pct"/>
            <w:tcBorders>
              <w:top w:val="nil"/>
              <w:left w:val="single" w:sz="4" w:space="0" w:color="auto"/>
              <w:bottom w:val="single" w:sz="4" w:space="0" w:color="auto"/>
              <w:right w:val="single" w:sz="4" w:space="0" w:color="auto"/>
            </w:tcBorders>
            <w:vAlign w:val="center"/>
          </w:tcPr>
          <w:p w14:paraId="476C74EC" w14:textId="77777777" w:rsidR="00B47383" w:rsidRDefault="0013625C">
            <w:pPr>
              <w:rPr>
                <w:sz w:val="20"/>
                <w:lang w:eastAsia="lt-LT"/>
              </w:rPr>
            </w:pPr>
            <w:r>
              <w:rPr>
                <w:sz w:val="20"/>
                <w:lang w:eastAsia="lt-LT"/>
              </w:rPr>
              <w:t>1.</w:t>
            </w:r>
          </w:p>
        </w:tc>
        <w:tc>
          <w:tcPr>
            <w:tcW w:w="1527" w:type="pct"/>
            <w:tcBorders>
              <w:top w:val="nil"/>
              <w:left w:val="nil"/>
              <w:bottom w:val="single" w:sz="4" w:space="0" w:color="auto"/>
              <w:right w:val="single" w:sz="4" w:space="0" w:color="auto"/>
            </w:tcBorders>
            <w:noWrap/>
            <w:vAlign w:val="bottom"/>
          </w:tcPr>
          <w:p w14:paraId="476C74ED" w14:textId="77777777" w:rsidR="00B47383" w:rsidRDefault="0013625C">
            <w:pPr>
              <w:rPr>
                <w:sz w:val="20"/>
                <w:lang w:eastAsia="lt-LT"/>
              </w:rPr>
            </w:pPr>
            <w:r>
              <w:rPr>
                <w:sz w:val="20"/>
                <w:lang w:eastAsia="lt-LT"/>
              </w:rPr>
              <w:t>Parduota elektros energijos iš viso:</w:t>
            </w:r>
          </w:p>
        </w:tc>
        <w:tc>
          <w:tcPr>
            <w:tcW w:w="474" w:type="pct"/>
            <w:tcBorders>
              <w:top w:val="nil"/>
              <w:left w:val="nil"/>
              <w:bottom w:val="single" w:sz="4" w:space="0" w:color="auto"/>
              <w:right w:val="single" w:sz="4" w:space="0" w:color="auto"/>
            </w:tcBorders>
            <w:vAlign w:val="center"/>
          </w:tcPr>
          <w:p w14:paraId="476C74EE" w14:textId="77777777" w:rsidR="00B47383" w:rsidRDefault="00B47383">
            <w:pPr>
              <w:jc w:val="center"/>
              <w:rPr>
                <w:sz w:val="20"/>
                <w:lang w:eastAsia="lt-LT"/>
              </w:rPr>
            </w:pPr>
          </w:p>
        </w:tc>
        <w:tc>
          <w:tcPr>
            <w:tcW w:w="474" w:type="pct"/>
            <w:tcBorders>
              <w:top w:val="nil"/>
              <w:left w:val="nil"/>
              <w:bottom w:val="single" w:sz="4" w:space="0" w:color="auto"/>
              <w:right w:val="single" w:sz="4" w:space="0" w:color="auto"/>
            </w:tcBorders>
            <w:vAlign w:val="center"/>
          </w:tcPr>
          <w:p w14:paraId="476C74EF" w14:textId="77777777" w:rsidR="00B47383" w:rsidRDefault="00B47383">
            <w:pPr>
              <w:jc w:val="center"/>
              <w:rPr>
                <w:sz w:val="20"/>
                <w:lang w:eastAsia="lt-LT"/>
              </w:rPr>
            </w:pPr>
          </w:p>
        </w:tc>
        <w:tc>
          <w:tcPr>
            <w:tcW w:w="474" w:type="pct"/>
            <w:tcBorders>
              <w:top w:val="nil"/>
              <w:left w:val="nil"/>
              <w:bottom w:val="single" w:sz="4" w:space="0" w:color="auto"/>
              <w:right w:val="single" w:sz="4" w:space="0" w:color="auto"/>
            </w:tcBorders>
          </w:tcPr>
          <w:p w14:paraId="476C74F0" w14:textId="77777777" w:rsidR="00B47383" w:rsidRDefault="00B47383">
            <w:pPr>
              <w:jc w:val="center"/>
              <w:rPr>
                <w:sz w:val="20"/>
                <w:lang w:eastAsia="lt-LT"/>
              </w:rPr>
            </w:pPr>
          </w:p>
        </w:tc>
        <w:tc>
          <w:tcPr>
            <w:tcW w:w="474" w:type="pct"/>
            <w:tcBorders>
              <w:top w:val="nil"/>
              <w:left w:val="nil"/>
              <w:bottom w:val="single" w:sz="4" w:space="0" w:color="auto"/>
              <w:right w:val="single" w:sz="4" w:space="0" w:color="auto"/>
            </w:tcBorders>
          </w:tcPr>
          <w:p w14:paraId="476C74F1" w14:textId="77777777" w:rsidR="00B47383" w:rsidRDefault="00B47383">
            <w:pPr>
              <w:jc w:val="center"/>
              <w:rPr>
                <w:sz w:val="20"/>
                <w:lang w:eastAsia="lt-LT"/>
              </w:rPr>
            </w:pPr>
          </w:p>
        </w:tc>
        <w:tc>
          <w:tcPr>
            <w:tcW w:w="297" w:type="pct"/>
            <w:tcBorders>
              <w:top w:val="nil"/>
              <w:left w:val="nil"/>
              <w:bottom w:val="single" w:sz="4" w:space="0" w:color="auto"/>
              <w:right w:val="single" w:sz="4" w:space="0" w:color="auto"/>
            </w:tcBorders>
          </w:tcPr>
          <w:p w14:paraId="476C74F2" w14:textId="77777777" w:rsidR="00B47383" w:rsidRDefault="00B47383">
            <w:pPr>
              <w:jc w:val="center"/>
              <w:rPr>
                <w:sz w:val="20"/>
                <w:lang w:eastAsia="lt-LT"/>
              </w:rPr>
            </w:pPr>
          </w:p>
        </w:tc>
        <w:tc>
          <w:tcPr>
            <w:tcW w:w="474" w:type="pct"/>
            <w:tcBorders>
              <w:top w:val="nil"/>
              <w:left w:val="nil"/>
              <w:bottom w:val="single" w:sz="4" w:space="0" w:color="auto"/>
              <w:right w:val="single" w:sz="4" w:space="0" w:color="auto"/>
            </w:tcBorders>
          </w:tcPr>
          <w:p w14:paraId="476C74F3" w14:textId="77777777" w:rsidR="00B47383" w:rsidRDefault="00B47383">
            <w:pPr>
              <w:jc w:val="center"/>
              <w:rPr>
                <w:sz w:val="20"/>
                <w:lang w:eastAsia="lt-LT"/>
              </w:rPr>
            </w:pPr>
          </w:p>
        </w:tc>
        <w:tc>
          <w:tcPr>
            <w:tcW w:w="474" w:type="pct"/>
            <w:tcBorders>
              <w:top w:val="nil"/>
              <w:left w:val="nil"/>
              <w:bottom w:val="single" w:sz="4" w:space="0" w:color="auto"/>
              <w:right w:val="single" w:sz="4" w:space="0" w:color="auto"/>
            </w:tcBorders>
          </w:tcPr>
          <w:p w14:paraId="476C74F4" w14:textId="77777777" w:rsidR="00B47383" w:rsidRDefault="00B47383">
            <w:pPr>
              <w:jc w:val="center"/>
              <w:rPr>
                <w:sz w:val="20"/>
                <w:lang w:eastAsia="lt-LT"/>
              </w:rPr>
            </w:pPr>
          </w:p>
        </w:tc>
      </w:tr>
      <w:tr w:rsidR="00B47383" w14:paraId="476C74FF" w14:textId="77777777">
        <w:tc>
          <w:tcPr>
            <w:tcW w:w="332" w:type="pct"/>
            <w:tcBorders>
              <w:top w:val="nil"/>
              <w:left w:val="single" w:sz="4" w:space="0" w:color="auto"/>
              <w:bottom w:val="single" w:sz="4" w:space="0" w:color="auto"/>
              <w:right w:val="single" w:sz="4" w:space="0" w:color="auto"/>
            </w:tcBorders>
            <w:noWrap/>
            <w:vAlign w:val="bottom"/>
          </w:tcPr>
          <w:p w14:paraId="476C74F6" w14:textId="77777777" w:rsidR="00B47383" w:rsidRDefault="0013625C">
            <w:pPr>
              <w:rPr>
                <w:sz w:val="20"/>
                <w:lang w:eastAsia="lt-LT"/>
              </w:rPr>
            </w:pPr>
            <w:r>
              <w:rPr>
                <w:sz w:val="20"/>
                <w:lang w:eastAsia="lt-LT"/>
              </w:rPr>
              <w:t>1.1.</w:t>
            </w:r>
          </w:p>
        </w:tc>
        <w:tc>
          <w:tcPr>
            <w:tcW w:w="1527" w:type="pct"/>
            <w:tcBorders>
              <w:top w:val="nil"/>
              <w:left w:val="nil"/>
              <w:bottom w:val="single" w:sz="4" w:space="0" w:color="auto"/>
              <w:right w:val="single" w:sz="4" w:space="0" w:color="auto"/>
            </w:tcBorders>
            <w:noWrap/>
            <w:vAlign w:val="bottom"/>
          </w:tcPr>
          <w:p w14:paraId="476C74F7" w14:textId="77777777" w:rsidR="00B47383" w:rsidRDefault="0013625C">
            <w:pPr>
              <w:rPr>
                <w:sz w:val="20"/>
                <w:lang w:eastAsia="lt-LT"/>
              </w:rPr>
            </w:pPr>
            <w:r>
              <w:rPr>
                <w:sz w:val="20"/>
                <w:lang w:eastAsia="lt-LT"/>
              </w:rPr>
              <w:t>iš jų: (nurodyti, kam parduota)</w:t>
            </w:r>
          </w:p>
        </w:tc>
        <w:tc>
          <w:tcPr>
            <w:tcW w:w="474" w:type="pct"/>
            <w:tcBorders>
              <w:top w:val="nil"/>
              <w:left w:val="nil"/>
              <w:bottom w:val="single" w:sz="4" w:space="0" w:color="auto"/>
              <w:right w:val="single" w:sz="4" w:space="0" w:color="auto"/>
            </w:tcBorders>
            <w:noWrap/>
            <w:vAlign w:val="bottom"/>
          </w:tcPr>
          <w:p w14:paraId="476C74F8"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4F9"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4FA"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4FB" w14:textId="77777777" w:rsidR="00B47383" w:rsidRDefault="00B47383">
            <w:pPr>
              <w:rPr>
                <w:sz w:val="20"/>
                <w:lang w:eastAsia="lt-LT"/>
              </w:rPr>
            </w:pPr>
          </w:p>
        </w:tc>
        <w:tc>
          <w:tcPr>
            <w:tcW w:w="297" w:type="pct"/>
            <w:tcBorders>
              <w:top w:val="nil"/>
              <w:left w:val="nil"/>
              <w:bottom w:val="single" w:sz="4" w:space="0" w:color="auto"/>
              <w:right w:val="single" w:sz="4" w:space="0" w:color="auto"/>
            </w:tcBorders>
          </w:tcPr>
          <w:p w14:paraId="476C74FC"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4FD"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4FE" w14:textId="77777777" w:rsidR="00B47383" w:rsidRDefault="00B47383">
            <w:pPr>
              <w:rPr>
                <w:sz w:val="20"/>
                <w:lang w:eastAsia="lt-LT"/>
              </w:rPr>
            </w:pPr>
          </w:p>
        </w:tc>
      </w:tr>
      <w:tr w:rsidR="00B47383" w14:paraId="476C7509" w14:textId="77777777">
        <w:tc>
          <w:tcPr>
            <w:tcW w:w="332" w:type="pct"/>
            <w:tcBorders>
              <w:top w:val="nil"/>
              <w:left w:val="single" w:sz="4" w:space="0" w:color="auto"/>
              <w:bottom w:val="single" w:sz="4" w:space="0" w:color="auto"/>
              <w:right w:val="single" w:sz="4" w:space="0" w:color="auto"/>
            </w:tcBorders>
            <w:noWrap/>
            <w:vAlign w:val="bottom"/>
          </w:tcPr>
          <w:p w14:paraId="476C7500" w14:textId="77777777" w:rsidR="00B47383" w:rsidRDefault="0013625C">
            <w:pPr>
              <w:rPr>
                <w:sz w:val="20"/>
                <w:lang w:eastAsia="lt-LT"/>
              </w:rPr>
            </w:pPr>
            <w:r>
              <w:rPr>
                <w:sz w:val="20"/>
                <w:lang w:eastAsia="lt-LT"/>
              </w:rPr>
              <w:t>1.2.</w:t>
            </w:r>
          </w:p>
        </w:tc>
        <w:tc>
          <w:tcPr>
            <w:tcW w:w="1527" w:type="pct"/>
            <w:tcBorders>
              <w:top w:val="nil"/>
              <w:left w:val="nil"/>
              <w:bottom w:val="single" w:sz="4" w:space="0" w:color="auto"/>
              <w:right w:val="single" w:sz="4" w:space="0" w:color="auto"/>
            </w:tcBorders>
            <w:noWrap/>
            <w:vAlign w:val="bottom"/>
          </w:tcPr>
          <w:p w14:paraId="476C7501"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502"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503"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04"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05" w14:textId="77777777" w:rsidR="00B47383" w:rsidRDefault="00B47383">
            <w:pPr>
              <w:rPr>
                <w:sz w:val="20"/>
                <w:lang w:eastAsia="lt-LT"/>
              </w:rPr>
            </w:pPr>
          </w:p>
        </w:tc>
        <w:tc>
          <w:tcPr>
            <w:tcW w:w="297" w:type="pct"/>
            <w:tcBorders>
              <w:top w:val="nil"/>
              <w:left w:val="nil"/>
              <w:bottom w:val="single" w:sz="4" w:space="0" w:color="auto"/>
              <w:right w:val="single" w:sz="4" w:space="0" w:color="auto"/>
            </w:tcBorders>
          </w:tcPr>
          <w:p w14:paraId="476C7506"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07"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08" w14:textId="77777777" w:rsidR="00B47383" w:rsidRDefault="00B47383">
            <w:pPr>
              <w:rPr>
                <w:sz w:val="20"/>
                <w:lang w:eastAsia="lt-LT"/>
              </w:rPr>
            </w:pPr>
          </w:p>
        </w:tc>
      </w:tr>
      <w:tr w:rsidR="00B47383" w14:paraId="476C7513" w14:textId="77777777">
        <w:tc>
          <w:tcPr>
            <w:tcW w:w="332" w:type="pct"/>
            <w:tcBorders>
              <w:top w:val="nil"/>
              <w:left w:val="single" w:sz="4" w:space="0" w:color="auto"/>
              <w:bottom w:val="single" w:sz="4" w:space="0" w:color="auto"/>
              <w:right w:val="single" w:sz="4" w:space="0" w:color="auto"/>
            </w:tcBorders>
            <w:noWrap/>
            <w:vAlign w:val="bottom"/>
          </w:tcPr>
          <w:p w14:paraId="476C750A" w14:textId="77777777" w:rsidR="00B47383" w:rsidRDefault="0013625C">
            <w:pPr>
              <w:rPr>
                <w:sz w:val="20"/>
                <w:lang w:eastAsia="lt-LT"/>
              </w:rPr>
            </w:pPr>
            <w:r>
              <w:rPr>
                <w:sz w:val="20"/>
                <w:lang w:eastAsia="lt-LT"/>
              </w:rPr>
              <w:t>....</w:t>
            </w:r>
          </w:p>
        </w:tc>
        <w:tc>
          <w:tcPr>
            <w:tcW w:w="1527" w:type="pct"/>
            <w:tcBorders>
              <w:top w:val="nil"/>
              <w:left w:val="nil"/>
              <w:bottom w:val="single" w:sz="4" w:space="0" w:color="auto"/>
              <w:right w:val="single" w:sz="4" w:space="0" w:color="auto"/>
            </w:tcBorders>
            <w:noWrap/>
            <w:vAlign w:val="bottom"/>
          </w:tcPr>
          <w:p w14:paraId="476C750B"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50C"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50D"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0E"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0F" w14:textId="77777777" w:rsidR="00B47383" w:rsidRDefault="00B47383">
            <w:pPr>
              <w:rPr>
                <w:sz w:val="20"/>
                <w:lang w:eastAsia="lt-LT"/>
              </w:rPr>
            </w:pPr>
          </w:p>
        </w:tc>
        <w:tc>
          <w:tcPr>
            <w:tcW w:w="297" w:type="pct"/>
            <w:tcBorders>
              <w:top w:val="nil"/>
              <w:left w:val="nil"/>
              <w:bottom w:val="single" w:sz="4" w:space="0" w:color="auto"/>
              <w:right w:val="single" w:sz="4" w:space="0" w:color="auto"/>
            </w:tcBorders>
          </w:tcPr>
          <w:p w14:paraId="476C7510"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11"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12" w14:textId="77777777" w:rsidR="00B47383" w:rsidRDefault="00B47383">
            <w:pPr>
              <w:rPr>
                <w:sz w:val="20"/>
                <w:lang w:eastAsia="lt-LT"/>
              </w:rPr>
            </w:pPr>
          </w:p>
        </w:tc>
      </w:tr>
      <w:tr w:rsidR="00B47383" w14:paraId="476C751D" w14:textId="77777777">
        <w:tc>
          <w:tcPr>
            <w:tcW w:w="332" w:type="pct"/>
            <w:tcBorders>
              <w:top w:val="nil"/>
              <w:left w:val="single" w:sz="4" w:space="0" w:color="auto"/>
              <w:bottom w:val="single" w:sz="4" w:space="0" w:color="auto"/>
              <w:right w:val="single" w:sz="4" w:space="0" w:color="auto"/>
            </w:tcBorders>
            <w:noWrap/>
            <w:vAlign w:val="bottom"/>
          </w:tcPr>
          <w:p w14:paraId="476C7514" w14:textId="77777777" w:rsidR="00B47383" w:rsidRDefault="0013625C">
            <w:pPr>
              <w:rPr>
                <w:sz w:val="20"/>
                <w:lang w:eastAsia="lt-LT"/>
              </w:rPr>
            </w:pPr>
            <w:r>
              <w:rPr>
                <w:sz w:val="20"/>
                <w:lang w:eastAsia="lt-LT"/>
              </w:rPr>
              <w:t>2.</w:t>
            </w:r>
          </w:p>
        </w:tc>
        <w:tc>
          <w:tcPr>
            <w:tcW w:w="1527" w:type="pct"/>
            <w:tcBorders>
              <w:top w:val="nil"/>
              <w:left w:val="nil"/>
              <w:bottom w:val="single" w:sz="4" w:space="0" w:color="auto"/>
              <w:right w:val="single" w:sz="4" w:space="0" w:color="auto"/>
            </w:tcBorders>
            <w:noWrap/>
            <w:vAlign w:val="bottom"/>
          </w:tcPr>
          <w:p w14:paraId="476C7515" w14:textId="77777777" w:rsidR="00B47383" w:rsidRDefault="0013625C">
            <w:pPr>
              <w:rPr>
                <w:sz w:val="20"/>
                <w:lang w:eastAsia="lt-LT"/>
              </w:rPr>
            </w:pPr>
            <w:r>
              <w:rPr>
                <w:sz w:val="20"/>
                <w:lang w:eastAsia="lt-LT"/>
              </w:rPr>
              <w:t>Pirkta elektros energijos iš viso:</w:t>
            </w:r>
          </w:p>
        </w:tc>
        <w:tc>
          <w:tcPr>
            <w:tcW w:w="474" w:type="pct"/>
            <w:tcBorders>
              <w:top w:val="nil"/>
              <w:left w:val="nil"/>
              <w:bottom w:val="single" w:sz="4" w:space="0" w:color="auto"/>
              <w:right w:val="single" w:sz="4" w:space="0" w:color="auto"/>
            </w:tcBorders>
            <w:noWrap/>
            <w:vAlign w:val="bottom"/>
          </w:tcPr>
          <w:p w14:paraId="476C7516"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517"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18"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19" w14:textId="77777777" w:rsidR="00B47383" w:rsidRDefault="00B47383">
            <w:pPr>
              <w:rPr>
                <w:sz w:val="20"/>
                <w:lang w:eastAsia="lt-LT"/>
              </w:rPr>
            </w:pPr>
          </w:p>
        </w:tc>
        <w:tc>
          <w:tcPr>
            <w:tcW w:w="297" w:type="pct"/>
            <w:tcBorders>
              <w:top w:val="nil"/>
              <w:left w:val="nil"/>
              <w:bottom w:val="single" w:sz="4" w:space="0" w:color="auto"/>
              <w:right w:val="single" w:sz="4" w:space="0" w:color="auto"/>
            </w:tcBorders>
          </w:tcPr>
          <w:p w14:paraId="476C751A"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1B"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1C" w14:textId="77777777" w:rsidR="00B47383" w:rsidRDefault="00B47383">
            <w:pPr>
              <w:rPr>
                <w:sz w:val="20"/>
                <w:lang w:eastAsia="lt-LT"/>
              </w:rPr>
            </w:pPr>
          </w:p>
        </w:tc>
      </w:tr>
      <w:tr w:rsidR="00B47383" w14:paraId="476C7527" w14:textId="77777777">
        <w:tc>
          <w:tcPr>
            <w:tcW w:w="332" w:type="pct"/>
            <w:tcBorders>
              <w:top w:val="nil"/>
              <w:left w:val="single" w:sz="4" w:space="0" w:color="auto"/>
              <w:bottom w:val="single" w:sz="4" w:space="0" w:color="auto"/>
              <w:right w:val="single" w:sz="4" w:space="0" w:color="auto"/>
            </w:tcBorders>
            <w:noWrap/>
            <w:vAlign w:val="bottom"/>
          </w:tcPr>
          <w:p w14:paraId="476C751E" w14:textId="77777777" w:rsidR="00B47383" w:rsidRDefault="0013625C">
            <w:pPr>
              <w:rPr>
                <w:sz w:val="20"/>
                <w:lang w:eastAsia="lt-LT"/>
              </w:rPr>
            </w:pPr>
            <w:r>
              <w:rPr>
                <w:sz w:val="20"/>
                <w:lang w:eastAsia="lt-LT"/>
              </w:rPr>
              <w:t>2.1.</w:t>
            </w:r>
          </w:p>
        </w:tc>
        <w:tc>
          <w:tcPr>
            <w:tcW w:w="1527" w:type="pct"/>
            <w:tcBorders>
              <w:top w:val="nil"/>
              <w:left w:val="nil"/>
              <w:bottom w:val="single" w:sz="4" w:space="0" w:color="auto"/>
              <w:right w:val="single" w:sz="4" w:space="0" w:color="auto"/>
            </w:tcBorders>
            <w:noWrap/>
            <w:vAlign w:val="bottom"/>
          </w:tcPr>
          <w:p w14:paraId="476C751F" w14:textId="77777777" w:rsidR="00B47383" w:rsidRDefault="0013625C">
            <w:pPr>
              <w:rPr>
                <w:sz w:val="20"/>
                <w:lang w:eastAsia="lt-LT"/>
              </w:rPr>
            </w:pPr>
            <w:r>
              <w:rPr>
                <w:sz w:val="20"/>
                <w:lang w:eastAsia="lt-LT"/>
              </w:rPr>
              <w:t>iš jų: (nurodyti, iš ko pirkta)</w:t>
            </w:r>
          </w:p>
        </w:tc>
        <w:tc>
          <w:tcPr>
            <w:tcW w:w="474" w:type="pct"/>
            <w:tcBorders>
              <w:top w:val="nil"/>
              <w:left w:val="nil"/>
              <w:bottom w:val="single" w:sz="4" w:space="0" w:color="auto"/>
              <w:right w:val="single" w:sz="4" w:space="0" w:color="auto"/>
            </w:tcBorders>
            <w:noWrap/>
            <w:vAlign w:val="bottom"/>
          </w:tcPr>
          <w:p w14:paraId="476C7520"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521"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22"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23" w14:textId="77777777" w:rsidR="00B47383" w:rsidRDefault="00B47383">
            <w:pPr>
              <w:rPr>
                <w:sz w:val="20"/>
                <w:lang w:eastAsia="lt-LT"/>
              </w:rPr>
            </w:pPr>
          </w:p>
        </w:tc>
        <w:tc>
          <w:tcPr>
            <w:tcW w:w="297" w:type="pct"/>
            <w:tcBorders>
              <w:top w:val="nil"/>
              <w:left w:val="nil"/>
              <w:bottom w:val="single" w:sz="4" w:space="0" w:color="auto"/>
              <w:right w:val="single" w:sz="4" w:space="0" w:color="auto"/>
            </w:tcBorders>
          </w:tcPr>
          <w:p w14:paraId="476C7524"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25"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26" w14:textId="77777777" w:rsidR="00B47383" w:rsidRDefault="00B47383">
            <w:pPr>
              <w:rPr>
                <w:sz w:val="20"/>
                <w:lang w:eastAsia="lt-LT"/>
              </w:rPr>
            </w:pPr>
          </w:p>
        </w:tc>
      </w:tr>
      <w:tr w:rsidR="00B47383" w14:paraId="476C7531" w14:textId="77777777">
        <w:tc>
          <w:tcPr>
            <w:tcW w:w="332" w:type="pct"/>
            <w:tcBorders>
              <w:top w:val="nil"/>
              <w:left w:val="single" w:sz="4" w:space="0" w:color="auto"/>
              <w:bottom w:val="single" w:sz="4" w:space="0" w:color="auto"/>
              <w:right w:val="single" w:sz="4" w:space="0" w:color="auto"/>
            </w:tcBorders>
            <w:noWrap/>
            <w:vAlign w:val="bottom"/>
          </w:tcPr>
          <w:p w14:paraId="476C7528" w14:textId="77777777" w:rsidR="00B47383" w:rsidRDefault="0013625C">
            <w:pPr>
              <w:rPr>
                <w:sz w:val="20"/>
                <w:lang w:eastAsia="lt-LT"/>
              </w:rPr>
            </w:pPr>
            <w:r>
              <w:rPr>
                <w:sz w:val="20"/>
                <w:lang w:eastAsia="lt-LT"/>
              </w:rPr>
              <w:t>....</w:t>
            </w:r>
          </w:p>
        </w:tc>
        <w:tc>
          <w:tcPr>
            <w:tcW w:w="1527" w:type="pct"/>
            <w:tcBorders>
              <w:top w:val="nil"/>
              <w:left w:val="nil"/>
              <w:bottom w:val="single" w:sz="4" w:space="0" w:color="auto"/>
              <w:right w:val="single" w:sz="4" w:space="0" w:color="auto"/>
            </w:tcBorders>
            <w:noWrap/>
            <w:vAlign w:val="bottom"/>
          </w:tcPr>
          <w:p w14:paraId="476C7529"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52A" w14:textId="77777777" w:rsidR="00B47383" w:rsidRDefault="00B47383">
            <w:pPr>
              <w:rPr>
                <w:sz w:val="20"/>
                <w:lang w:eastAsia="lt-LT"/>
              </w:rPr>
            </w:pPr>
          </w:p>
        </w:tc>
        <w:tc>
          <w:tcPr>
            <w:tcW w:w="474" w:type="pct"/>
            <w:tcBorders>
              <w:top w:val="nil"/>
              <w:left w:val="nil"/>
              <w:bottom w:val="single" w:sz="4" w:space="0" w:color="auto"/>
              <w:right w:val="single" w:sz="4" w:space="0" w:color="auto"/>
            </w:tcBorders>
            <w:noWrap/>
            <w:vAlign w:val="bottom"/>
          </w:tcPr>
          <w:p w14:paraId="476C752B"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2C"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2D" w14:textId="77777777" w:rsidR="00B47383" w:rsidRDefault="00B47383">
            <w:pPr>
              <w:rPr>
                <w:sz w:val="20"/>
                <w:lang w:eastAsia="lt-LT"/>
              </w:rPr>
            </w:pPr>
          </w:p>
        </w:tc>
        <w:tc>
          <w:tcPr>
            <w:tcW w:w="297" w:type="pct"/>
            <w:tcBorders>
              <w:top w:val="nil"/>
              <w:left w:val="nil"/>
              <w:bottom w:val="single" w:sz="4" w:space="0" w:color="auto"/>
              <w:right w:val="single" w:sz="4" w:space="0" w:color="auto"/>
            </w:tcBorders>
          </w:tcPr>
          <w:p w14:paraId="476C752E"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2F" w14:textId="77777777" w:rsidR="00B47383" w:rsidRDefault="00B47383">
            <w:pPr>
              <w:rPr>
                <w:sz w:val="20"/>
                <w:lang w:eastAsia="lt-LT"/>
              </w:rPr>
            </w:pPr>
          </w:p>
        </w:tc>
        <w:tc>
          <w:tcPr>
            <w:tcW w:w="474" w:type="pct"/>
            <w:tcBorders>
              <w:top w:val="nil"/>
              <w:left w:val="nil"/>
              <w:bottom w:val="single" w:sz="4" w:space="0" w:color="auto"/>
              <w:right w:val="single" w:sz="4" w:space="0" w:color="auto"/>
            </w:tcBorders>
          </w:tcPr>
          <w:p w14:paraId="476C7530" w14:textId="77777777" w:rsidR="00B47383" w:rsidRDefault="00B47383">
            <w:pPr>
              <w:rPr>
                <w:sz w:val="20"/>
                <w:lang w:eastAsia="lt-LT"/>
              </w:rPr>
            </w:pPr>
          </w:p>
        </w:tc>
      </w:tr>
    </w:tbl>
    <w:p w14:paraId="476C7532" w14:textId="77777777" w:rsidR="00B47383" w:rsidRDefault="00B47383">
      <w:pPr>
        <w:tabs>
          <w:tab w:val="left" w:leader="underscore" w:pos="2640"/>
          <w:tab w:val="left" w:pos="3480"/>
          <w:tab w:val="left" w:leader="underscore" w:pos="5160"/>
          <w:tab w:val="left" w:pos="6600"/>
          <w:tab w:val="left" w:leader="underscore" w:pos="9016"/>
        </w:tabs>
        <w:rPr>
          <w:sz w:val="22"/>
          <w:szCs w:val="24"/>
          <w:lang w:eastAsia="lt-LT"/>
        </w:rPr>
      </w:pPr>
    </w:p>
    <w:tbl>
      <w:tblPr>
        <w:tblW w:w="9070" w:type="dxa"/>
        <w:tblLook w:val="01E0" w:firstRow="1" w:lastRow="1" w:firstColumn="1" w:lastColumn="1" w:noHBand="0" w:noVBand="0"/>
      </w:tblPr>
      <w:tblGrid>
        <w:gridCol w:w="3228"/>
        <w:gridCol w:w="2640"/>
        <w:gridCol w:w="3202"/>
      </w:tblGrid>
      <w:tr w:rsidR="00B47383" w14:paraId="476C7539" w14:textId="77777777">
        <w:tc>
          <w:tcPr>
            <w:tcW w:w="3228" w:type="dxa"/>
          </w:tcPr>
          <w:p w14:paraId="476C7533" w14:textId="77777777" w:rsidR="00B47383" w:rsidRDefault="0013625C">
            <w:pPr>
              <w:rPr>
                <w:szCs w:val="24"/>
                <w:lang w:eastAsia="lt-LT"/>
              </w:rPr>
            </w:pPr>
            <w:r>
              <w:rPr>
                <w:szCs w:val="24"/>
                <w:lang w:eastAsia="lt-LT"/>
              </w:rPr>
              <w:t>___________</w:t>
            </w:r>
          </w:p>
          <w:p w14:paraId="476C7534" w14:textId="77777777" w:rsidR="00B47383" w:rsidRDefault="0013625C">
            <w:pPr>
              <w:rPr>
                <w:szCs w:val="24"/>
                <w:lang w:eastAsia="lt-LT"/>
              </w:rPr>
            </w:pPr>
            <w:r>
              <w:rPr>
                <w:szCs w:val="24"/>
                <w:lang w:eastAsia="lt-LT"/>
              </w:rPr>
              <w:t>(Pareigų pavadinimas)</w:t>
            </w:r>
          </w:p>
        </w:tc>
        <w:tc>
          <w:tcPr>
            <w:tcW w:w="2640" w:type="dxa"/>
          </w:tcPr>
          <w:p w14:paraId="476C7535" w14:textId="77777777" w:rsidR="00B47383" w:rsidRDefault="0013625C">
            <w:pPr>
              <w:jc w:val="center"/>
              <w:rPr>
                <w:szCs w:val="24"/>
                <w:lang w:eastAsia="lt-LT"/>
              </w:rPr>
            </w:pPr>
            <w:r>
              <w:rPr>
                <w:szCs w:val="24"/>
                <w:lang w:eastAsia="lt-LT"/>
              </w:rPr>
              <w:t>__________</w:t>
            </w:r>
          </w:p>
          <w:p w14:paraId="476C7536" w14:textId="77777777" w:rsidR="00B47383" w:rsidRDefault="0013625C">
            <w:pPr>
              <w:jc w:val="center"/>
              <w:rPr>
                <w:szCs w:val="24"/>
                <w:lang w:eastAsia="lt-LT"/>
              </w:rPr>
            </w:pPr>
            <w:r>
              <w:rPr>
                <w:szCs w:val="24"/>
                <w:lang w:eastAsia="lt-LT"/>
              </w:rPr>
              <w:t>(Parašas)</w:t>
            </w:r>
          </w:p>
        </w:tc>
        <w:tc>
          <w:tcPr>
            <w:tcW w:w="3202" w:type="dxa"/>
          </w:tcPr>
          <w:p w14:paraId="476C7537" w14:textId="77777777" w:rsidR="00B47383" w:rsidRDefault="0013625C">
            <w:pPr>
              <w:jc w:val="right"/>
              <w:rPr>
                <w:szCs w:val="24"/>
                <w:lang w:eastAsia="lt-LT"/>
              </w:rPr>
            </w:pPr>
            <w:r>
              <w:rPr>
                <w:szCs w:val="24"/>
                <w:lang w:eastAsia="lt-LT"/>
              </w:rPr>
              <w:t>________________</w:t>
            </w:r>
          </w:p>
          <w:p w14:paraId="476C7538" w14:textId="5B2C66ED" w:rsidR="00B47383" w:rsidRDefault="0013625C">
            <w:pPr>
              <w:jc w:val="right"/>
              <w:rPr>
                <w:szCs w:val="24"/>
                <w:lang w:eastAsia="lt-LT"/>
              </w:rPr>
            </w:pPr>
            <w:r>
              <w:rPr>
                <w:szCs w:val="24"/>
                <w:lang w:eastAsia="lt-LT"/>
              </w:rPr>
              <w:t>(Vardas ir pavardė)</w:t>
            </w:r>
          </w:p>
        </w:tc>
      </w:tr>
    </w:tbl>
    <w:p w14:paraId="476C753A" w14:textId="77777777" w:rsidR="00B47383" w:rsidRDefault="0013625C">
      <w:pPr>
        <w:jc w:val="center"/>
        <w:rPr>
          <w:color w:val="000000"/>
          <w:szCs w:val="24"/>
          <w:lang w:eastAsia="lt-LT"/>
        </w:rPr>
      </w:pPr>
      <w:r>
        <w:rPr>
          <w:szCs w:val="24"/>
          <w:lang w:eastAsia="lt-LT"/>
        </w:rPr>
        <w:t>_________________</w:t>
      </w:r>
    </w:p>
    <w:sectPr w:rsidR="00B47383">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B6"/>
    <w:rsid w:val="0013625C"/>
    <w:rsid w:val="00B47383"/>
    <w:rsid w:val="00C432B6"/>
    <w:rsid w:val="00DC58F5"/>
    <w:rsid w:val="00DF1280"/>
    <w:rsid w:val="00E9485B"/>
    <w:rsid w:val="00F150C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362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36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1002166FF8C"/>
  <Relationship Id="rId11" Type="http://schemas.openxmlformats.org/officeDocument/2006/relationships/hyperlink" TargetMode="External" Target="https://www.e-tar.lt/portal/lt/legalAct/TAR.CBCC91754545"/>
  <Relationship Id="rId12" Type="http://schemas.openxmlformats.org/officeDocument/2006/relationships/hyperlink" TargetMode="External" Target="https://www.e-tar.lt/portal/lt/legalAct/TAR.BF26E5FAEE36"/>
  <Relationship Id="rId13" Type="http://schemas.openxmlformats.org/officeDocument/2006/relationships/hyperlink" TargetMode="External" Target="https://www.e-tar.lt/portal/lt/legalAct/TAR.44235B485568"/>
  <Relationship Id="rId14" Type="http://schemas.openxmlformats.org/officeDocument/2006/relationships/hyperlink" TargetMode="External" Target="https://www.e-tar.lt/portal/lt/legalAct/TAR.C2DAB42D5532"/>
  <Relationship Id="rId15" Type="http://schemas.openxmlformats.org/officeDocument/2006/relationships/hyperlink" TargetMode="External" Target="https://www.e-tar.lt/portal/lt/legalAct/TAR.FC7AB69BE291"/>
  <Relationship Id="rId16" Type="http://schemas.openxmlformats.org/officeDocument/2006/relationships/hyperlink" TargetMode="External" Target="https://www.e-tar.lt/portal/lt/legalAct/TAR.E1002166FF8C"/>
  <Relationship Id="rId17" Type="http://schemas.openxmlformats.org/officeDocument/2006/relationships/hyperlink" TargetMode="External" Target="https://www.e-tar.lt/portal/lt/legalAct/TAR.A516DE6B7EC2"/>
  <Relationship Id="rId18" Type="http://schemas.openxmlformats.org/officeDocument/2006/relationships/hyperlink" TargetMode="External" Target="https://www.e-tar.lt/portal/lt/legalAct/TAR.F57794B7899F"/>
  <Relationship Id="rId19" Type="http://schemas.openxmlformats.org/officeDocument/2006/relationships/hyperlink" TargetMode="External" Target="https://www.e-tar.lt/portal/lt/legalAct/TAR.EC08E3DADC14"/>
  <Relationship Id="rId2" Type="http://schemas.openxmlformats.org/officeDocument/2006/relationships/styles" Target="styles.xml"/>
  <Relationship Id="rId20" Type="http://schemas.openxmlformats.org/officeDocument/2006/relationships/hyperlink" TargetMode="External" Target="https://www.e-tar.lt/portal/lt/legalAct/TAR.A516DE6B7EC2"/>
  <Relationship Id="rId21" Type="http://schemas.openxmlformats.org/officeDocument/2006/relationships/image" Target="media/image1.wmf"/>
  <Relationship Id="rId22" Type="http://schemas.openxmlformats.org/officeDocument/2006/relationships/oleObject" Target="embeddings/oleObject1.bin"/>
  <Relationship Id="rId23" Type="http://schemas.openxmlformats.org/officeDocument/2006/relationships/fontTable" Target="fontTable.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44235B485568"/>
  <Relationship Id="rId7" Type="http://schemas.openxmlformats.org/officeDocument/2006/relationships/hyperlink" TargetMode="External" Target="https://www.e-tar.lt/portal/lt/legalAct/TAR.C2DAB42D5532"/>
  <Relationship Id="rId8" Type="http://schemas.openxmlformats.org/officeDocument/2006/relationships/hyperlink" TargetMode="External" Target="https://www.e-tar.lt/portal/lt/legalAct/TAR.A516DE6B7EC2"/>
  <Relationship Id="rId9" Type="http://schemas.openxmlformats.org/officeDocument/2006/relationships/hyperlink" TargetMode="External" Target="https://www.e-tar.lt/portal/lt/legalAct/TAR.FC7AB69BE2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9698</Words>
  <Characters>5529</Characters>
  <Application>Microsoft Office Word</Application>
  <DocSecurity>0</DocSecurity>
  <Lines>46</Lines>
  <Paragraphs>30</Paragraphs>
  <ScaleCrop>false</ScaleCrop>
  <Company/>
  <LinksUpToDate>false</LinksUpToDate>
  <CharactersWithSpaces>15197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2015-10-04T01:47:00Z</dcterms:created>
  <dc:creator>Rima</dc:creator>
  <lastModifiedBy>Renata Drukteinytė</lastModifiedBy>
  <dcterms:modified xsi:type="dcterms:W3CDTF">2016-05-17T11:12:00Z</dcterms:modified>
  <revision>7</revision>
  <dc:title>VALSTYBINĖS KAINŲ IR ENERGETIKOS KONTROLĖS KOMISIJOS</dc:title>
</coreProperties>
</file>