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0554" w14:textId="77777777" w:rsidR="00FB4E18" w:rsidRDefault="000F633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37F057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537F0555" w14:textId="77777777" w:rsidR="00FB4E18" w:rsidRDefault="00FB4E18">
      <w:pPr>
        <w:jc w:val="center"/>
        <w:rPr>
          <w:color w:val="000000"/>
        </w:rPr>
      </w:pPr>
    </w:p>
    <w:p w14:paraId="537F0556" w14:textId="77777777" w:rsidR="00FB4E18" w:rsidRDefault="000F6339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537F0557" w14:textId="77777777" w:rsidR="00FB4E18" w:rsidRDefault="000F6339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1997 M. RUGPJŪČIO 7 D. NUTARIMO NR. 894 „DĖL PINIGINES IR PINIGINES-DAIKTINES LOTERIJAS RENGIANČIŲ ĮMONIŲ LICENCIJAVIMO TAISYKLIŲ BEI</w:t>
      </w:r>
      <w:r>
        <w:rPr>
          <w:b/>
          <w:color w:val="000000"/>
        </w:rPr>
        <w:t xml:space="preserve"> PINIGINES IR PINIGINES-DAIKTINES LOTERIJAS RENGIANČIŲ ĮMONIŲ ĮSTATYMŲ NUSTATYTOS PAJAMŲ DALIES SUMOKĖJIMO Į BIUDŽETĄ IR PRIVALOMOJO SKYRIMO LABDARAI BEI PARAMAI TVARKOS PATVIRTINIMO“ DALINIO PAKEITIMO</w:t>
      </w:r>
    </w:p>
    <w:p w14:paraId="537F0558" w14:textId="77777777" w:rsidR="00FB4E18" w:rsidRDefault="00FB4E18">
      <w:pPr>
        <w:jc w:val="center"/>
        <w:rPr>
          <w:color w:val="000000"/>
        </w:rPr>
      </w:pPr>
    </w:p>
    <w:p w14:paraId="537F0559" w14:textId="77777777" w:rsidR="00FB4E18" w:rsidRDefault="000F6339">
      <w:pPr>
        <w:jc w:val="center"/>
        <w:rPr>
          <w:color w:val="000000"/>
        </w:rPr>
      </w:pPr>
      <w:r>
        <w:rPr>
          <w:color w:val="000000"/>
        </w:rPr>
        <w:t>1999 m. spalio 18 d. Nr. 1149</w:t>
      </w:r>
    </w:p>
    <w:p w14:paraId="537F055A" w14:textId="77777777" w:rsidR="00FB4E18" w:rsidRDefault="000F633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37F055B" w14:textId="77777777" w:rsidR="00FB4E18" w:rsidRDefault="00FB4E18">
      <w:pPr>
        <w:jc w:val="center"/>
        <w:rPr>
          <w:color w:val="000000"/>
        </w:rPr>
      </w:pPr>
    </w:p>
    <w:p w14:paraId="537F055C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Lietuvos Respu</w:t>
      </w:r>
      <w:r>
        <w:rPr>
          <w:color w:val="000000"/>
        </w:rPr>
        <w:t>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537F055D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pakeisti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rugpjūčio 7 d. nutarimą Nr. 894 „Dėl Pinigines ir pinigines-daiktines loterijas rengiančių įmonių licencijavimo taisyklių bei Pinigines ir pinigines-daiktines loterija</w:t>
      </w:r>
      <w:r>
        <w:rPr>
          <w:color w:val="000000"/>
        </w:rPr>
        <w:t xml:space="preserve">s rengiančių įmonių įstatymų nustatytos pajamų dalies sumokėjimo į biudžetą ir privalomojo skyrimo labdarai bei paramai tvarkos patvirtinimo“ (Žin., 1997, Nr. </w:t>
      </w:r>
      <w:hyperlink r:id="rId10" w:tgtFrame="_blank" w:history="1">
        <w:r>
          <w:rPr>
            <w:color w:val="0000FF" w:themeColor="hyperlink"/>
            <w:u w:val="single"/>
          </w:rPr>
          <w:t>75-1949</w:t>
        </w:r>
      </w:hyperlink>
      <w:r>
        <w:rPr>
          <w:color w:val="000000"/>
        </w:rPr>
        <w:t>; 1998, Nr.</w:t>
      </w:r>
      <w:r>
        <w:rPr>
          <w:color w:val="000000"/>
        </w:rPr>
        <w:t xml:space="preserve"> </w:t>
      </w:r>
      <w:hyperlink r:id="rId11" w:tgtFrame="_blank" w:history="1">
        <w:r>
          <w:rPr>
            <w:color w:val="0000FF" w:themeColor="hyperlink"/>
            <w:u w:val="single"/>
          </w:rPr>
          <w:t>79-2237</w:t>
        </w:r>
      </w:hyperlink>
      <w:r>
        <w:rPr>
          <w:color w:val="000000"/>
        </w:rPr>
        <w:t>):</w:t>
      </w:r>
    </w:p>
    <w:p w14:paraId="537F055E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Nurodytuoju nutarimu patvirtintose Pinigines ir pinigines–daiktines loterijas rengiančių įmonių licencijavimo taisyklėse:</w:t>
      </w:r>
    </w:p>
    <w:p w14:paraId="537F055F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išdėstyti 5 punkto antrąją pas</w:t>
      </w:r>
      <w:r>
        <w:rPr>
          <w:color w:val="000000"/>
        </w:rPr>
        <w:t>traipą taip:</w:t>
      </w:r>
    </w:p>
    <w:p w14:paraId="537F0560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„Pinigines ir pinigines-daiktines loterijas rengiančios įmonės, kurių steigėjai yra Lietuvos tautinis olimpinis komitetas, Kūno kultūros ir sporto departamentas prie Lietuvos Respublikos Vyriausybės, Lietuvos vaiko draugija, Lietuvos invalidų </w:t>
      </w:r>
      <w:r>
        <w:rPr>
          <w:color w:val="000000"/>
        </w:rPr>
        <w:t>draugija, Lietuvos žmonių su negale sąjunga, Lietuvos aklųjų bei silpnaregių sąjunga, privalo 5 procentus pajamų nuo nominalios išplatintų loterijos bilietų (kortelių) vertės sumokėti į biudžetą ir 8 procentus pajamų nuo nominalios išplatintų loterijos bil</w:t>
      </w:r>
      <w:r>
        <w:rPr>
          <w:color w:val="000000"/>
        </w:rPr>
        <w:t>ietų (kortelių) vertės privalomai skirti Pinigines ir pinigines-daiktines loterijas rengiančių įmonių įstatymų nustatytos pajamų dalies sumokėjimo į biudžetą ir privalomojo skyrimo labdarai bei paramai tvarkoje nurodytiems labdaros ir paramos gavėjams. Lab</w:t>
      </w:r>
      <w:r>
        <w:rPr>
          <w:color w:val="000000"/>
        </w:rPr>
        <w:t>darą ir paramą loterijos rengėjai privalo pervesti ne rečiau kaip kartą per ketvirtį, iki kito ketvirčio pirmojo mėnesio 15 dienos“;</w:t>
      </w:r>
    </w:p>
    <w:p w14:paraId="537F0561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išdėstyti 19.5 punktą taip:</w:t>
      </w:r>
    </w:p>
    <w:p w14:paraId="537F0562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19.5</w:t>
      </w:r>
      <w:r>
        <w:rPr>
          <w:color w:val="000000"/>
        </w:rPr>
        <w:t>. ne vėliau kaip per 4 mėnesius nuo ūkinių metų pabaigos pateikti Finansų m</w:t>
      </w:r>
      <w:r>
        <w:rPr>
          <w:color w:val="000000"/>
        </w:rPr>
        <w:t>inisterijai nepriklausomo auditoriaus išvadą ir ataskaitą apie loterijas rengiančių įmonių metinę finansinę atskaitomybę“;</w:t>
      </w:r>
    </w:p>
    <w:p w14:paraId="537F0563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papildyti nurodytąsias taisykles šiuo 24.5 punktu:</w:t>
      </w:r>
    </w:p>
    <w:p w14:paraId="537F0564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24.5</w:t>
      </w:r>
      <w:r>
        <w:rPr>
          <w:color w:val="000000"/>
        </w:rPr>
        <w:t>. per 6 mėnesius nuo licencijos išdavimo dienos nebuvo pradėta</w:t>
      </w:r>
      <w:r>
        <w:rPr>
          <w:color w:val="000000"/>
        </w:rPr>
        <w:t xml:space="preserve"> licencijoje nurodyta veikla“;</w:t>
      </w:r>
    </w:p>
    <w:p w14:paraId="537F0565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išdėstyti 27 punkto pirmąją pastraipą taip:</w:t>
      </w:r>
    </w:p>
    <w:p w14:paraId="537F0566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27</w:t>
      </w:r>
      <w:r>
        <w:rPr>
          <w:color w:val="000000"/>
        </w:rPr>
        <w:t xml:space="preserve">. Ūkio subjektas, kuriam panaikinta licencija rengti loteriją, su prašymu išduoti naują licenciją gali kreiptis į Finansų ministeriją ne anksčiau kaip po 5 metų </w:t>
      </w:r>
      <w:r>
        <w:rPr>
          <w:color w:val="000000"/>
        </w:rPr>
        <w:t>nuo licencijos panaikinimo dienos, išskyrus tą atvejį, jeigu licencija buvo panaikinta vadovaujantis šių taisyklių 24.1 arba 24.5 punktu“.</w:t>
      </w:r>
    </w:p>
    <w:p w14:paraId="537F0567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nutarimu patvirtintoje Pinigines ir pinigines-daiktines loterijas rengiančių įmonių įstatymų</w:t>
      </w:r>
      <w:r>
        <w:rPr>
          <w:color w:val="000000"/>
        </w:rPr>
        <w:t xml:space="preserve"> nustatytos pajamų dalies sumokėjimo į biudžetą ir privalomojo skyrimo labdarai bei paramai tvarkoje:</w:t>
      </w:r>
    </w:p>
    <w:p w14:paraId="537F0568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išdėstyti 3 punktą taip:</w:t>
      </w:r>
    </w:p>
    <w:p w14:paraId="537F0569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Įmokas į biudžetą nuo nominalios išplatintų loterijos bilietų (kortelių) vertės loterijas rengiančios įmonės sumoka </w:t>
      </w:r>
      <w:r>
        <w:rPr>
          <w:color w:val="000000"/>
        </w:rPr>
        <w:t>ta pačia tvarka ir terminais kaip ir juridinių asmenų pelno avansinį mokestį, o juridinio asmens teisių neturinčios įmonės – kaip pajamų avansinį mokestį.</w:t>
      </w:r>
    </w:p>
    <w:p w14:paraId="537F056A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Loterijas rengiančios įmonės įstatymų nustatytą pajamų dalį labdarai bei paramai sumoka kiekvienam ke</w:t>
      </w:r>
      <w:r>
        <w:rPr>
          <w:color w:val="000000"/>
        </w:rPr>
        <w:t>tvirčiui pasibaigus, iki kito ketvirčio pirmojo mėnesio 15 dienos“;</w:t>
      </w:r>
    </w:p>
    <w:p w14:paraId="537F056B" w14:textId="7777777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išdėstyti 6 punktą taip:</w:t>
      </w:r>
    </w:p>
    <w:p w14:paraId="537F056E" w14:textId="698854B7" w:rsidR="00FB4E18" w:rsidRDefault="000F63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Loterijas rengiančios įmonės pildo įmokų į biudžetą (13 arba 5 procentų pajamų nuo nominalios išplatintų loterijos bilietų (kortelių) vertės) ap</w:t>
      </w:r>
      <w:r>
        <w:rPr>
          <w:color w:val="000000"/>
        </w:rPr>
        <w:t>skaičiavimo apyskaitą (forma pridedama). Loterijas rengiančios įmonės apyskaitą pateikia tam mokesčio administratoriui, kurio veiklos teritorijoje jos įregistruotos kaip mokesčių mokėtojos. Loterijas rengiančių įmonių įmokų į biudžetą apskaičiavimo apyskai</w:t>
      </w:r>
      <w:r>
        <w:rPr>
          <w:color w:val="000000"/>
        </w:rPr>
        <w:t>ta pateikiama ne vėliau kaip kiekvieno mokestinio laikotarpio mėnesiui pasibaigus, iki kito mėnesio 15 dienos“.</w:t>
      </w:r>
    </w:p>
    <w:p w14:paraId="2E26D350" w14:textId="77777777" w:rsidR="000F6339" w:rsidRDefault="000F6339">
      <w:pPr>
        <w:tabs>
          <w:tab w:val="right" w:pos="9639"/>
        </w:tabs>
      </w:pPr>
    </w:p>
    <w:p w14:paraId="73D79422" w14:textId="77777777" w:rsidR="000F6339" w:rsidRDefault="000F6339">
      <w:pPr>
        <w:tabs>
          <w:tab w:val="right" w:pos="9639"/>
        </w:tabs>
      </w:pPr>
    </w:p>
    <w:p w14:paraId="305AD789" w14:textId="77777777" w:rsidR="000F6339" w:rsidRDefault="000F6339">
      <w:pPr>
        <w:tabs>
          <w:tab w:val="right" w:pos="9639"/>
        </w:tabs>
      </w:pPr>
    </w:p>
    <w:p w14:paraId="537F056F" w14:textId="22856DF2" w:rsidR="00FB4E18" w:rsidRDefault="000F6339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Rolandas Paksas</w:t>
      </w:r>
    </w:p>
    <w:p w14:paraId="537F0570" w14:textId="77777777" w:rsidR="00FB4E18" w:rsidRDefault="00FB4E18">
      <w:pPr>
        <w:tabs>
          <w:tab w:val="right" w:pos="9639"/>
        </w:tabs>
        <w:rPr>
          <w:caps/>
        </w:rPr>
      </w:pPr>
    </w:p>
    <w:p w14:paraId="280B6DED" w14:textId="77777777" w:rsidR="000F6339" w:rsidRDefault="000F6339">
      <w:pPr>
        <w:tabs>
          <w:tab w:val="right" w:pos="9639"/>
        </w:tabs>
        <w:rPr>
          <w:caps/>
        </w:rPr>
      </w:pPr>
    </w:p>
    <w:p w14:paraId="5984D7B1" w14:textId="77777777" w:rsidR="000F6339" w:rsidRDefault="000F6339">
      <w:pPr>
        <w:tabs>
          <w:tab w:val="right" w:pos="9639"/>
        </w:tabs>
        <w:rPr>
          <w:caps/>
        </w:rPr>
      </w:pPr>
      <w:bookmarkStart w:id="0" w:name="_GoBack"/>
      <w:bookmarkEnd w:id="0"/>
    </w:p>
    <w:p w14:paraId="537F0571" w14:textId="77777777" w:rsidR="00FB4E18" w:rsidRDefault="000F6339">
      <w:pPr>
        <w:tabs>
          <w:tab w:val="right" w:pos="9639"/>
        </w:tabs>
        <w:rPr>
          <w:caps/>
        </w:rPr>
      </w:pPr>
      <w:r>
        <w:rPr>
          <w:caps/>
        </w:rPr>
        <w:t>Finansų ministras</w:t>
      </w:r>
      <w:r>
        <w:rPr>
          <w:caps/>
        </w:rPr>
        <w:tab/>
        <w:t>Jonas Lionginas</w:t>
      </w:r>
    </w:p>
    <w:p w14:paraId="537F0573" w14:textId="77777777" w:rsidR="00FB4E18" w:rsidRDefault="000F6339">
      <w:pPr>
        <w:tabs>
          <w:tab w:val="right" w:pos="9639"/>
        </w:tabs>
        <w:jc w:val="center"/>
        <w:rPr>
          <w:caps/>
        </w:rPr>
      </w:pPr>
    </w:p>
    <w:sectPr w:rsidR="00FB4E18" w:rsidSect="000F6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0577" w14:textId="77777777" w:rsidR="00FB4E18" w:rsidRDefault="000F6339">
      <w:r>
        <w:separator/>
      </w:r>
    </w:p>
  </w:endnote>
  <w:endnote w:type="continuationSeparator" w:id="0">
    <w:p w14:paraId="537F0578" w14:textId="77777777" w:rsidR="00FB4E18" w:rsidRDefault="000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7D" w14:textId="77777777" w:rsidR="00FB4E18" w:rsidRDefault="00FB4E1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7E" w14:textId="77777777" w:rsidR="00FB4E18" w:rsidRDefault="00FB4E1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80" w14:textId="77777777" w:rsidR="00FB4E18" w:rsidRDefault="00FB4E1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0575" w14:textId="77777777" w:rsidR="00FB4E18" w:rsidRDefault="000F6339">
      <w:r>
        <w:separator/>
      </w:r>
    </w:p>
  </w:footnote>
  <w:footnote w:type="continuationSeparator" w:id="0">
    <w:p w14:paraId="537F0576" w14:textId="77777777" w:rsidR="00FB4E18" w:rsidRDefault="000F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79" w14:textId="77777777" w:rsidR="00FB4E18" w:rsidRDefault="000F63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37F057A" w14:textId="77777777" w:rsidR="00FB4E18" w:rsidRDefault="00FB4E1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7B" w14:textId="77777777" w:rsidR="00FB4E18" w:rsidRDefault="000F63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37F057C" w14:textId="77777777" w:rsidR="00FB4E18" w:rsidRDefault="00FB4E1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57F" w14:textId="77777777" w:rsidR="00FB4E18" w:rsidRDefault="00FB4E1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B"/>
    <w:rsid w:val="000F6339"/>
    <w:rsid w:val="004F661B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37F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1FC8F46AD6F"/>
  <Relationship Id="rId11" Type="http://schemas.openxmlformats.org/officeDocument/2006/relationships/hyperlink" TargetMode="External" Target="https://www.e-tar.lt/portal/lt/legalAct/TAR.799CF745B61D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2715</Words>
  <Characters>1548</Characters>
  <Application>Microsoft Office Word</Application>
  <DocSecurity>0</DocSecurity>
  <Lines>12</Lines>
  <Paragraphs>8</Paragraphs>
  <ScaleCrop>false</ScaleCrop>
  <Company/>
  <LinksUpToDate>false</LinksUpToDate>
  <CharactersWithSpaces>4255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2015-06-21T21:19:00Z</dcterms:created>
  <dc:creator>User</dc:creator>
  <lastModifiedBy>BODIN Aušra</lastModifiedBy>
  <dcterms:modified xsi:type="dcterms:W3CDTF">2020-04-27T10:47:00Z</dcterms:modified>
  <revision>3</revision>
</coreProperties>
</file>