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GYVENTOJŲ PAJAMŲ MOKESČIO ĮSTATYMO </w:t>
        <w:br/>
        <w:t xml:space="preserve">34 STRAIPSNIO PAPILDYMO IR PAKEITIMO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ind w:firstLine="567"/>
        <w:jc w:val="both"/>
        <w:rPr>
          <w:b/>
          <w:bCs/>
          <w:caps/>
          <w:color w:val="000000"/>
        </w:rPr>
      </w:pPr>
    </w:p>
    <w:p>
      <w:pPr>
        <w:keepLines/>
        <w:widowControl w:val="0"/>
        <w:suppressAutoHyphens/>
        <w:jc w:val="center"/>
        <w:rPr>
          <w:color w:val="000000"/>
        </w:rPr>
      </w:pPr>
      <w:r>
        <w:rPr>
          <w:color w:val="000000"/>
        </w:rPr>
        <w:t>2011 m. gruodžio 6 d. Nr. XI-1778</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2002, Nr. </w:t>
      </w:r>
      <w:fldSimple w:instr="HYPERLINK https://www.e-tar.lt/portal/lt/legalAct/TAR.C677663D2202 \t _blank">
        <w:r>
          <w:rPr>
            <w:color w:val="0000FF" w:themeColor="hyperlink"/>
            <w:u w:val="single"/>
          </w:rPr>
          <w:t>73-3085</w:t>
        </w:r>
      </w:fldSimple>
      <w:r>
        <w:rPr>
          <w:color w:val="000000"/>
        </w:rPr>
        <w:t xml:space="preserve">; 2003, Nr. </w:t>
      </w:r>
      <w:fldSimple w:instr="HYPERLINK https://www.e-tar.lt/portal/lt/legalAct/TAR.3BE08993974A \t _blank">
        <w:r>
          <w:rPr>
            <w:color w:val="0000FF" w:themeColor="hyperlink"/>
            <w:u w:val="single"/>
          </w:rPr>
          <w:t>116-5254</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34 straipsnio papildymas ir pakeitimas</w:t>
      </w:r>
    </w:p>
    <w:p>
      <w:pPr>
        <w:widowControl w:val="0"/>
        <w:suppressAutoHyphens/>
        <w:ind w:firstLine="567"/>
        <w:jc w:val="both"/>
        <w:rPr>
          <w:color w:val="000000"/>
        </w:rPr>
      </w:pPr>
      <w:r>
        <w:rPr>
          <w:color w:val="000000"/>
        </w:rPr>
        <w:t>Papildyti ir pakeisti 34 straipsnį ir jį išdėstyti taip:</w:t>
      </w:r>
    </w:p>
    <w:p>
      <w:pPr>
        <w:ind w:firstLine="567"/>
        <w:jc w:val="both"/>
      </w:pPr>
    </w:p>
    <w:p>
      <w:pPr>
        <w:keepLines/>
        <w:widowControl w:val="0"/>
        <w:suppressAutoHyphens/>
        <w:ind w:firstLine="567"/>
        <w:rPr>
          <w:b/>
          <w:bCs/>
          <w:color w:val="000000"/>
        </w:rPr>
      </w:pPr>
      <w:r>
        <w:rPr>
          <w:color w:val="000000"/>
        </w:rPr>
        <w:t>„</w:t>
      </w:r>
      <w:r>
        <w:rPr>
          <w:b/>
          <w:bCs/>
          <w:color w:val="000000"/>
        </w:rPr>
        <w:t>34</w:t>
      </w:r>
      <w:r>
        <w:rPr>
          <w:b/>
          <w:bCs/>
          <w:color w:val="000000"/>
        </w:rPr>
        <w:t xml:space="preserve"> straipsnis. </w:t>
      </w:r>
      <w:r>
        <w:rPr>
          <w:b/>
          <w:bCs/>
          <w:color w:val="000000"/>
        </w:rPr>
        <w:t>Mokesčio administratoriaus pareigos</w:t>
      </w:r>
    </w:p>
    <w:p>
      <w:pPr>
        <w:widowControl w:val="0"/>
        <w:suppressAutoHyphens/>
        <w:ind w:firstLine="567"/>
        <w:jc w:val="both"/>
        <w:rPr>
          <w:color w:val="000000"/>
        </w:rPr>
      </w:pPr>
      <w:r>
        <w:rPr>
          <w:color w:val="000000"/>
        </w:rPr>
        <w:t>1</w:t>
      </w:r>
      <w:r>
        <w:rPr>
          <w:color w:val="000000"/>
        </w:rPr>
        <w:t>. Gyventojams ir mokestį išskaičiuojantiems asmenims deklaracijų blankai ir metodiniai jų pildymo nurodymai išduodami nemokamai.</w:t>
      </w:r>
    </w:p>
    <w:p>
      <w:pPr>
        <w:widowControl w:val="0"/>
        <w:suppressAutoHyphens/>
        <w:ind w:firstLine="567"/>
        <w:jc w:val="both"/>
        <w:rPr>
          <w:color w:val="000000"/>
        </w:rPr>
      </w:pPr>
      <w:r>
        <w:rPr>
          <w:color w:val="000000"/>
        </w:rPr>
        <w:t>2</w:t>
      </w:r>
      <w:r>
        <w:rPr>
          <w:color w:val="000000"/>
        </w:rPr>
        <w:t>. Mokesčio administratorius nuolatinio Lietuvos gyventojo prašymu, mokestiniam laikotarpiui pasibaigus, privalo išduoti pažymą, kurioje turi būti nurodytos nuolatinio Lietuvos gyventojo mokestiniu laikotarpiu gautos pajamos ir nuo jų Lietuvoje sumokėtas pajamų mokestis. Mokesčio administratorius nenuolatinio Lietuvos gyventojo prašymu privalo išduoti pažymą, kurioje turi būti nurodytos nenuolatinio Lietuvos gyventojo Lietuvoje gautos pajamos ir nuo jų sumokėtas pajamų mokestis. Pažymų išdavimo tvarką nustato centrinis mokesčio administratorius.</w:t>
      </w:r>
    </w:p>
    <w:p>
      <w:pPr>
        <w:widowControl w:val="0"/>
        <w:suppressAutoHyphens/>
        <w:ind w:firstLine="567"/>
        <w:jc w:val="both"/>
        <w:rPr>
          <w:color w:val="000000"/>
        </w:rPr>
      </w:pPr>
      <w:r>
        <w:rPr>
          <w:color w:val="000000"/>
        </w:rPr>
        <w:t>3</w:t>
      </w:r>
      <w:r>
        <w:rPr>
          <w:color w:val="000000"/>
        </w:rPr>
        <w:t>. Mokesčio administratorius nuolatinio Lietuvos gyventojo prašymu, mokestiniam laikotarpiui pasibaigus, Vyriausybės arba jos įgaliotos institucijos nustatyta tvarka privalo pervesti Lietuvos vienetams, pagal Labdaros ir paramos įstatymą turintiems teisę gauti paramą, iki 2 procentų pajamų mokesčio, mokėtino pagal metinę pajamų mokesčio deklaraciją, sumos, o jeigu nuolatinis Lietuvos gyventojas metinės pajamų mokesčio deklaracijos neteikia, – iki 2 procentų mokestį išskaičiuojančio asmens išskaičiuoto pajamų mokesčio sumos.</w:t>
      </w:r>
    </w:p>
    <w:p>
      <w:pPr>
        <w:widowControl w:val="0"/>
        <w:suppressAutoHyphens/>
        <w:ind w:firstLine="567"/>
        <w:jc w:val="both"/>
        <w:rPr>
          <w:color w:val="000000"/>
        </w:rPr>
      </w:pPr>
      <w:r>
        <w:rPr>
          <w:color w:val="000000"/>
        </w:rPr>
        <w:t>4</w:t>
      </w:r>
      <w:r>
        <w:rPr>
          <w:color w:val="000000"/>
        </w:rPr>
        <w:t>. Mokesčio administratorius nuolatinio Lietuvos gyventojo prašymu, mokestiniam laikotarpiui pasibaigus, Vyriausybės arba jos įgaliotos institucijos nustatyta tvarka privalo pervesti politinėms partijoms, įstatymų nustatyta tvarka įregistruotoms Juridinių asmenų registre, atitinkančioms įstatymų reikalavimus dėl politinės partijos narių skaičiaus ir kurioms nėra pradėta pertvarkymo arba likvidavimo procedūra, 1 procentą pajamų mokesčio, mokėtino pagal metinę pajamų mokesčio deklaraciją, sumos, o jeigu nuolatinis Lietuvos gyventojas metinės pajamų mokesčio deklaracijos neteikia, – 1 procentą mokestį išskaičiuojančio asmens išskaičiuoto pajamų mokesčio sumos. Pagal šią dalį politinėms partijoms pervedama pajamų mokesčio suma neįskaitoma į pagal šio straipsnio 3 dalį pervedamą pajamų mokesčio sumą.</w:t>
      </w:r>
    </w:p>
    <w:p>
      <w:pPr>
        <w:widowControl w:val="0"/>
        <w:suppressAutoHyphens/>
        <w:ind w:firstLine="567"/>
        <w:jc w:val="both"/>
        <w:rPr>
          <w:color w:val="000000"/>
        </w:rPr>
      </w:pPr>
      <w:r>
        <w:rPr>
          <w:color w:val="000000"/>
        </w:rPr>
        <w:t>5</w:t>
      </w:r>
      <w:r>
        <w:rPr>
          <w:color w:val="000000"/>
        </w:rPr>
        <w:t>. Mokesčio administratorius gyventojo prašymu per 10 darbo dienų nuo prašymo pateikimo dienos privalo išduoti pažymą apie nuolatinio Lietuvos gyventojo vykdomą individualią veiklą arba nenuolatinio Lietuvos gyventojo įregistruotą nuolatinę bazę Lietuvoje.“</w:t>
      </w:r>
    </w:p>
    <w:p>
      <w:pPr>
        <w:ind w:firstLine="567"/>
        <w:jc w:val="both"/>
      </w:pPr>
    </w:p>
    <w:p>
      <w:pPr>
        <w:keepLines/>
        <w:widowControl w:val="0"/>
        <w:suppressAutoHyphens/>
        <w:ind w:firstLine="567"/>
        <w:rPr>
          <w:b/>
          <w:bCs/>
          <w:color w:val="000000"/>
        </w:rPr>
      </w:pPr>
      <w:r>
        <w:rPr>
          <w:b/>
          <w:bCs/>
          <w:color w:val="000000"/>
        </w:rPr>
        <w:br w:type="page"/>
      </w:r>
      <w:r>
        <w:rPr>
          <w:b/>
          <w:bCs/>
          <w:color w:val="000000"/>
        </w:rPr>
        <w:t>2</w:t>
      </w:r>
      <w:r>
        <w:rPr>
          <w:b/>
          <w:bCs/>
          <w:color w:val="000000"/>
        </w:rPr>
        <w:t xml:space="preserve"> straipsnis. </w:t>
      </w:r>
      <w:r>
        <w:rPr>
          <w:b/>
          <w:bCs/>
          <w:color w:val="000000"/>
        </w:rPr>
        <w:t>Baigiamosios nuostatos</w:t>
      </w:r>
    </w:p>
    <w:p>
      <w:pPr>
        <w:widowControl w:val="0"/>
        <w:suppressAutoHyphens/>
        <w:ind w:firstLine="567"/>
        <w:jc w:val="both"/>
        <w:rPr>
          <w:color w:val="000000"/>
        </w:rPr>
      </w:pPr>
      <w:r>
        <w:rPr>
          <w:color w:val="000000"/>
        </w:rPr>
        <w:t>1</w:t>
      </w:r>
      <w:r>
        <w:rPr>
          <w:color w:val="000000"/>
        </w:rPr>
        <w:t>. Šio įstatymo 1 straipsnis įsigalioja 2012 m. sausio 1 d.</w:t>
      </w:r>
    </w:p>
    <w:p>
      <w:pPr>
        <w:widowControl w:val="0"/>
        <w:suppressAutoHyphens/>
        <w:ind w:firstLine="567"/>
        <w:jc w:val="both"/>
        <w:rPr>
          <w:color w:val="000000"/>
        </w:rPr>
      </w:pPr>
      <w:r>
        <w:rPr>
          <w:color w:val="000000"/>
        </w:rPr>
        <w:t>2</w:t>
      </w:r>
      <w:r>
        <w:rPr>
          <w:color w:val="000000"/>
        </w:rPr>
        <w:t>. Lietuvos Respublikos Vyriausybė arba jos įgaliota institucija iki 2011 m. gruodžio 31 d. priima šiam įstatymui įgyvendinti reikalingus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tabs>
          <w:tab w:val="right" w:pos="9071"/>
        </w:tabs>
        <w:suppressAutoHyphens/>
        <w:rPr>
          <w:caps/>
          <w:color w:val="000000"/>
        </w:rPr>
      </w:pPr>
    </w:p>
    <w:p>
      <w:pPr>
        <w:widowControl w:val="0"/>
        <w:suppressAutoHyphens/>
        <w:jc w:val="cente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2647</Characters>
  <Application>Microsoft Office Word</Application>
  <DocSecurity>4</DocSecurity>
  <Lines>54</Lines>
  <Paragraphs>22</Paragraphs>
  <ScaleCrop>false</ScaleCrop>
  <Company/>
  <LinksUpToDate>false</LinksUpToDate>
  <CharactersWithSpaces>2987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2015-06-07T09:57:00Z</dcterms:created>
  <dc:creator>Rima</dc:creator>
  <lastModifiedBy>Adlib User</lastModifiedBy>
  <dcterms:modified xsi:type="dcterms:W3CDTF">2015-06-07T09:57:00Z</dcterms:modified>
  <revision>2</revision>
  <dc:title>LIETUVOS RESPUBLIKOS GYVENTOJŲ PAJAMŲ MOKESČIO ĮSTATYMO</dc:title>
</coreProperties>
</file>