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w14:anchorId="0D4A161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GYVENTOJŲ PAJAMŲ MOKESČIO ĮSTATYMO 2, 3, 5, 6, 7, 8, 9, 10, 12, 13</w:t>
      </w:r>
      <w:r>
        <w:rPr>
          <w:b/>
          <w:bCs/>
          <w:vertAlign w:val="superscript"/>
        </w:rPr>
        <w:t>1</w:t>
      </w:r>
      <w:r>
        <w:rPr>
          <w:b/>
          <w:bCs/>
        </w:rPr>
        <w:t>, 16, 17, 18, 19, 20, 21, 22, 23, 27, 29, 30 STRAIPSNIŲ PAKEITIMO IR PAPILDYMO IR ĮSTATYMO PAPILDYMO 18</w:t>
      </w:r>
      <w:r>
        <w:rPr>
          <w:b/>
          <w:bCs/>
          <w:vertAlign w:val="superscript"/>
        </w:rPr>
        <w:t>1</w:t>
      </w:r>
      <w:r>
        <w:rPr>
          <w:b/>
          <w:bCs/>
        </w:rPr>
        <w:t xml:space="preserve"> STRAIPSNIU ĮSTATYMO 23 STRAIPSNIO PAKEITIMO ĮSTATYMAS</w:t>
      </w:r>
    </w:p>
    <w:p>
      <w:pPr>
        <w:jc w:val="center"/>
      </w:pPr>
    </w:p>
    <w:p>
      <w:pPr>
        <w:jc w:val="center"/>
      </w:pPr>
      <w:r>
        <w:t>2009 m. vasario 19 d. Nr. XI-175</w:t>
      </w:r>
    </w:p>
    <w:p>
      <w:pPr>
        <w:jc w:val="center"/>
      </w:pPr>
      <w:r>
        <w:t>Vilnius</w:t>
      </w:r>
    </w:p>
    <w:p>
      <w:pPr>
        <w:jc w:val="center"/>
      </w:pPr>
    </w:p>
    <w:p>
      <w:pPr>
        <w:jc w:val="center"/>
      </w:pPr>
      <w:r>
        <w:t xml:space="preserve">(Žin., 2008, Nr. </w:t>
      </w:r>
      <w:fldSimple w:instr="HYPERLINK https://www.e-tar.lt/portal/lt/legalAct/TAR.A0FCF5DD97FC \t _blank">
        <w:r>
          <w:rPr>
            <w:u w:val="single"/>
            <w:color w:val="0000FF" w:themeColor="hyperlink"/>
          </w:rPr>
          <w:t>149-6033</w:t>
        </w:r>
      </w:fldSimple>
      <w:r>
        <w:t>)</w:t>
      </w:r>
    </w:p>
    <w:p>
      <w:pPr>
        <w:ind w:firstLine="567"/>
        <w:jc w:val="both"/>
      </w:pPr>
    </w:p>
    <w:p>
      <w:pPr>
        <w:ind w:firstLine="567"/>
        <w:jc w:val="both"/>
        <w:rPr>
          <w:b/>
          <w:bCs/>
        </w:rPr>
      </w:pPr>
      <w:r>
        <w:rPr>
          <w:b/>
          <w:bCs/>
        </w:rPr>
        <w:t>1</w:t>
      </w:r>
      <w:r>
        <w:rPr>
          <w:b/>
          <w:bCs/>
        </w:rPr>
        <w:t xml:space="preserve"> straipsnis. </w:t>
      </w:r>
      <w:r>
        <w:rPr>
          <w:b/>
          <w:bCs/>
        </w:rPr>
        <w:t>23 straipsnio 3 dalies pakeitimas</w:t>
      </w:r>
    </w:p>
    <w:p>
      <w:pPr>
        <w:ind w:firstLine="567"/>
        <w:jc w:val="both"/>
      </w:pPr>
      <w:r>
        <w:t>Pakeisti 23 straipsnio 3 dalį ir ją išdėstyti taip:</w:t>
      </w:r>
    </w:p>
    <w:p>
      <w:pPr>
        <w:ind w:firstLine="567"/>
        <w:jc w:val="both"/>
      </w:pPr>
      <w:r>
        <w:t>„</w:t>
      </w:r>
      <w:r>
        <w:t>3</w:t>
      </w:r>
      <w:r>
        <w:t>. Pajamoms iš realizuotos žemės ūkio produkcijos, užaugintos, taip pat užaugintos ir perdirbtos gyventojo nuosavybės teise turimoje, išsinuomotoje ar Lietuvos Respublikos teisės aktų nustatyta tvarka gyventojui suteiktoje žemėje, ir ūkininkų ir jų partnerių gautoms (uždirbtoms) pajamoms, kurios po šio įstatymo įsigaliojimo bus apmokestinamos gyventojų pajamų mokesčiu, taip pat po šio įstatymo įsigaliojimo apmokestinamoms apyvartai proporcingoms išmokoms, mokamoms vieneto (kooperatinės bendrovės (kooperatyvo) dalyviams (nariams) iš šio vieneto pelno, kurios iki šio įstatymo įsigaliojimo buvo priskiriamos neapmokestinamosioms gyventojų pajamoms, 2009 metais taikomas 5 procentų gyventojų pajamų mokesčio tarifas, o 2010 metais – 10 procentų gyventojų pajamų mokesčio tarifas. Iš tokiais tarifais apmokestintų pajamų, apskaičiuojant gyventojų pajamų mokestį 2009 ir 2010 metų mokestiniais laikotarpiais, negali būti atimamos Gyventojų pajamų mokesčio įstatymo 21 straipsnyje nurodytos išlaidos.“</w:t>
      </w:r>
    </w:p>
    <w:p>
      <w:pPr>
        <w:ind w:firstLine="567"/>
        <w:jc w:val="both"/>
        <w:rPr>
          <w:i/>
          <w:iCs/>
        </w:rPr>
      </w:pPr>
    </w:p>
    <w:p>
      <w:pPr>
        <w:ind w:firstLine="567"/>
        <w:jc w:val="both"/>
        <w:rPr>
          <w:i/>
          <w:iCs/>
        </w:rPr>
      </w:pPr>
      <w:r>
        <w:rPr>
          <w:i/>
          <w:iCs/>
        </w:rPr>
        <w:t xml:space="preserve">Skelbiu šį Lietuvos Respublikos Seimo priimtą įstatymą. </w:t>
      </w:r>
    </w:p>
    <w:p>
      <w:pPr>
        <w:ind w:firstLine="567"/>
        <w:jc w:val="both"/>
        <w:rPr>
          <w:i/>
          <w:iCs/>
        </w:rPr>
      </w:pPr>
    </w:p>
    <w:p>
      <w:pPr>
        <w:ind w:firstLine="567"/>
        <w:jc w:val="both"/>
        <w:rPr>
          <w:i/>
          <w:iCs/>
        </w:rPr>
      </w:pPr>
    </w:p>
    <w:p>
      <w:pPr>
        <w:tabs>
          <w:tab w:val="right" w:pos="9071"/>
        </w:tabs>
      </w:pPr>
      <w:r>
        <w:t xml:space="preserve">RESPUBLIKOS PREZIDENTAS </w:t>
        <w:tab/>
        <w:t>VALDAS ADAMKUS</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0"/>
  <w:mirrorMargins/>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E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1321</Characters>
  <Application>Microsoft Office Word</Application>
  <DocSecurity>4</DocSecurity>
  <Lines>30</Lines>
  <Paragraphs>10</Paragraphs>
  <ScaleCrop>false</ScaleCrop>
  <Company/>
  <LinksUpToDate>false</LinksUpToDate>
  <CharactersWithSpaces>1513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2015-09-01T00:17:00Z</dcterms:created>
  <dc:creator>Rima</dc:creator>
  <lastModifiedBy>Adlib User</lastModifiedBy>
  <dcterms:modified xsi:type="dcterms:W3CDTF">2015-09-01T00:17:00Z</dcterms:modified>
  <revision>2</revision>
  <dc:title>LIETUVOS RESPUBLIKOS GYVENTOJŲ PAJAMŲ MOKESČIO ĮSTATYMO 2, 3, 5,</dc:title>
</coreProperties>
</file>