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4D01" w14:textId="77777777" w:rsidR="006E7896" w:rsidRDefault="006E7896">
      <w:pPr>
        <w:tabs>
          <w:tab w:val="center" w:pos="4153"/>
          <w:tab w:val="right" w:pos="8306"/>
        </w:tabs>
        <w:rPr>
          <w:lang w:val="en-GB"/>
        </w:rPr>
      </w:pPr>
    </w:p>
    <w:p w14:paraId="48B84D02" w14:textId="77777777" w:rsidR="006E7896" w:rsidRDefault="000E0E08">
      <w:pPr>
        <w:jc w:val="center"/>
        <w:rPr>
          <w:b/>
        </w:rPr>
      </w:pPr>
      <w:r>
        <w:rPr>
          <w:b/>
          <w:lang w:eastAsia="lt-LT"/>
        </w:rPr>
        <w:pict w14:anchorId="48B84D5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48B84D03" w14:textId="77777777" w:rsidR="006E7896" w:rsidRDefault="000E0E08">
      <w:pPr>
        <w:jc w:val="center"/>
        <w:rPr>
          <w:b/>
        </w:rPr>
      </w:pPr>
      <w:r>
        <w:rPr>
          <w:b/>
        </w:rPr>
        <w:t>AZARTINIŲ LOŠIMŲ MOKESČIO ĮSTATYMO PAKEITIMO</w:t>
      </w:r>
    </w:p>
    <w:p w14:paraId="48B84D04" w14:textId="77777777" w:rsidR="006E7896" w:rsidRDefault="000E0E08">
      <w:pPr>
        <w:jc w:val="center"/>
        <w:rPr>
          <w:b/>
        </w:rPr>
      </w:pPr>
      <w:r>
        <w:rPr>
          <w:b/>
        </w:rPr>
        <w:t>Į S T A T Y M A S</w:t>
      </w:r>
    </w:p>
    <w:p w14:paraId="48B84D05" w14:textId="77777777" w:rsidR="006E7896" w:rsidRDefault="006E7896">
      <w:pPr>
        <w:jc w:val="center"/>
      </w:pPr>
    </w:p>
    <w:p w14:paraId="48B84D06" w14:textId="77777777" w:rsidR="006E7896" w:rsidRDefault="000E0E08">
      <w:pPr>
        <w:jc w:val="center"/>
      </w:pPr>
      <w:r>
        <w:t>2003 m. liepos 1 d. Nr. IX-1662</w:t>
      </w:r>
    </w:p>
    <w:p w14:paraId="48B84D07" w14:textId="77777777" w:rsidR="006E7896" w:rsidRDefault="000E0E08">
      <w:pPr>
        <w:jc w:val="center"/>
      </w:pPr>
      <w:r>
        <w:t>Vilnius</w:t>
      </w:r>
    </w:p>
    <w:p w14:paraId="48B84D08" w14:textId="77777777" w:rsidR="006E7896" w:rsidRDefault="006E7896">
      <w:pPr>
        <w:jc w:val="center"/>
      </w:pPr>
    </w:p>
    <w:p w14:paraId="48B84D09" w14:textId="77777777" w:rsidR="006E7896" w:rsidRDefault="000E0E08">
      <w:pPr>
        <w:ind w:left="2410" w:hanging="1701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Lietuvos Respublikos azartinių lošimų mokesčio įstatymo nauja redakcija</w:t>
      </w:r>
    </w:p>
    <w:p w14:paraId="48B84D0A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Pakei</w:t>
      </w:r>
      <w:r>
        <w:rPr>
          <w:color w:val="000000"/>
        </w:rPr>
        <w:t>sti Lietuvos Respublikos azartinių lošimų mokesčio įstatymą ir jį išdėstyti taip:</w:t>
      </w:r>
    </w:p>
    <w:p w14:paraId="48B84D0B" w14:textId="77777777" w:rsidR="006E7896" w:rsidRDefault="006E7896">
      <w:pPr>
        <w:ind w:firstLine="708"/>
      </w:pPr>
    </w:p>
    <w:p w14:paraId="48B84D0C" w14:textId="77777777" w:rsidR="006E7896" w:rsidRDefault="000E0E08">
      <w:pPr>
        <w:jc w:val="center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 xml:space="preserve">LIETUVOS RESPUBLIKOS </w:t>
      </w:r>
    </w:p>
    <w:p w14:paraId="48B84D0D" w14:textId="77777777" w:rsidR="006E7896" w:rsidRDefault="000E0E08">
      <w:pPr>
        <w:jc w:val="center"/>
        <w:rPr>
          <w:b/>
          <w:color w:val="000000"/>
        </w:rPr>
      </w:pPr>
      <w:r>
        <w:rPr>
          <w:b/>
          <w:color w:val="000000"/>
        </w:rPr>
        <w:t>LOTERIJŲ IR AZARTINIŲ LOŠIMŲ MOKESČIO</w:t>
      </w:r>
    </w:p>
    <w:p w14:paraId="48B84D0E" w14:textId="77777777" w:rsidR="006E7896" w:rsidRDefault="000E0E08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48B84D0F" w14:textId="77777777" w:rsidR="006E7896" w:rsidRDefault="006E7896">
      <w:pPr>
        <w:jc w:val="center"/>
        <w:rPr>
          <w:b/>
          <w:color w:val="000000"/>
        </w:rPr>
      </w:pPr>
    </w:p>
    <w:p w14:paraId="48B84D10" w14:textId="77777777" w:rsidR="006E7896" w:rsidRDefault="006E7896"/>
    <w:p w14:paraId="48B84D11" w14:textId="77777777" w:rsidR="006E7896" w:rsidRDefault="000E0E08">
      <w:pPr>
        <w:jc w:val="center"/>
        <w:rPr>
          <w:b/>
          <w:color w:val="000000"/>
        </w:rPr>
      </w:pPr>
      <w:r>
        <w:rPr>
          <w:b/>
          <w:color w:val="000000"/>
        </w:rPr>
        <w:t>PIRMASIS</w:t>
      </w:r>
      <w:r>
        <w:rPr>
          <w:b/>
          <w:color w:val="000000"/>
        </w:rPr>
        <w:t xml:space="preserve"> SKIRSNIS</w:t>
      </w:r>
    </w:p>
    <w:p w14:paraId="48B84D12" w14:textId="77777777" w:rsidR="006E7896" w:rsidRDefault="000E0E08">
      <w:pPr>
        <w:keepNext/>
        <w:jc w:val="center"/>
        <w:outlineLvl w:val="3"/>
        <w:rPr>
          <w:b/>
          <w:color w:val="000000"/>
        </w:rPr>
      </w:pPr>
      <w:r>
        <w:rPr>
          <w:b/>
          <w:color w:val="000000"/>
        </w:rPr>
        <w:t>BENDROSIOS NUOSTATOS</w:t>
      </w:r>
    </w:p>
    <w:p w14:paraId="48B84D13" w14:textId="77777777" w:rsidR="006E7896" w:rsidRDefault="006E7896"/>
    <w:p w14:paraId="48B84D14" w14:textId="77777777" w:rsidR="006E7896" w:rsidRDefault="000E0E08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paskirtis</w:t>
      </w:r>
    </w:p>
    <w:p w14:paraId="48B84D15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Šis Įstatym</w:t>
      </w:r>
      <w:r>
        <w:rPr>
          <w:color w:val="000000"/>
        </w:rPr>
        <w:t>as reglamentuoja loterijų ir azartinių lošimų apmokestinimą loterijų ir azartinių lošimų mokesčiu (toliau – loterijų ir lošimų mokestis).</w:t>
      </w:r>
    </w:p>
    <w:p w14:paraId="48B84D16" w14:textId="77777777" w:rsidR="006E7896" w:rsidRDefault="000E0E08"/>
    <w:p w14:paraId="48B84D17" w14:textId="77777777" w:rsidR="006E7896" w:rsidRDefault="000E0E08"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Loterijų ir lošimų mokesčio mokėtojai</w:t>
      </w:r>
    </w:p>
    <w:p w14:paraId="48B84D18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Loterijų ir lošimų mokestį moka juridiniai asmenys, organizuojantys loterijas pagal Loterijų įstatymą ir organizuojantys azartinius lošimus pagal Azartinių lošimų įstatymą. </w:t>
      </w:r>
    </w:p>
    <w:p w14:paraId="48B84D19" w14:textId="77777777" w:rsidR="006E7896" w:rsidRDefault="000E0E08"/>
    <w:p w14:paraId="48B84D1A" w14:textId="77777777" w:rsidR="006E7896" w:rsidRDefault="000E0E0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Mokestinis laikotarpis</w:t>
      </w:r>
    </w:p>
    <w:p w14:paraId="48B84D1B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Loterijų ir lošimų mokesčio </w:t>
      </w:r>
      <w:r>
        <w:rPr>
          <w:color w:val="000000"/>
        </w:rPr>
        <w:t>mokestinis laikotarpis yra kalendorinių metų ketvirtis.</w:t>
      </w:r>
    </w:p>
    <w:p w14:paraId="48B84D1C" w14:textId="77777777" w:rsidR="006E7896" w:rsidRDefault="000E0E08"/>
    <w:p w14:paraId="48B84D1D" w14:textId="77777777" w:rsidR="006E7896" w:rsidRDefault="000E0E08">
      <w:pPr>
        <w:jc w:val="center"/>
        <w:rPr>
          <w:b/>
          <w:color w:val="000000"/>
        </w:rPr>
      </w:pPr>
      <w:r>
        <w:rPr>
          <w:b/>
          <w:color w:val="000000"/>
        </w:rPr>
        <w:t>ANTRASIS</w:t>
      </w:r>
      <w:r>
        <w:rPr>
          <w:b/>
          <w:color w:val="000000"/>
        </w:rPr>
        <w:t xml:space="preserve"> SKIRSNIS</w:t>
      </w:r>
    </w:p>
    <w:p w14:paraId="48B84D1E" w14:textId="77777777" w:rsidR="006E7896" w:rsidRDefault="000E0E08">
      <w:pPr>
        <w:jc w:val="center"/>
        <w:rPr>
          <w:color w:val="000000"/>
        </w:rPr>
      </w:pPr>
      <w:r>
        <w:rPr>
          <w:b/>
          <w:color w:val="000000"/>
        </w:rPr>
        <w:t>LOTERIJŲ IR LOŠIMŲ MOKESTIS</w:t>
      </w:r>
    </w:p>
    <w:p w14:paraId="48B84D1F" w14:textId="77777777" w:rsidR="006E7896" w:rsidRDefault="006E7896"/>
    <w:p w14:paraId="48B84D20" w14:textId="77777777" w:rsidR="006E7896" w:rsidRDefault="000E0E0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Loterijų ir lošimų mokesčio bazė</w:t>
      </w:r>
    </w:p>
    <w:p w14:paraId="48B84D21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Loterijų ir lošimų mokesčio bazė yra:</w:t>
      </w:r>
    </w:p>
    <w:p w14:paraId="48B84D22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organizuojant loterijas – išplatintų loterijos b</w:t>
      </w:r>
      <w:r>
        <w:rPr>
          <w:color w:val="000000"/>
        </w:rPr>
        <w:t>ilietų nominali vertė;</w:t>
      </w:r>
    </w:p>
    <w:p w14:paraId="48B84D23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organizuojant bingo, totalizatorių ir lažybas – gautų įplaukų, atėmus faktiškai išmokėtus laimėjimus, suma;</w:t>
      </w:r>
    </w:p>
    <w:p w14:paraId="48B84D24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organizuojant lošimus automatais, stalo lošimus – už lošimo įrenginį (lošimo automatą, ruletės, kortų arba kaul</w:t>
      </w:r>
      <w:r>
        <w:rPr>
          <w:color w:val="000000"/>
        </w:rPr>
        <w:t>iukų stalą) nustatyta fiksuota suma.</w:t>
      </w:r>
    </w:p>
    <w:p w14:paraId="48B84D25" w14:textId="77777777" w:rsidR="006E7896" w:rsidRDefault="000E0E08"/>
    <w:p w14:paraId="48B84D26" w14:textId="77777777" w:rsidR="006E7896" w:rsidRDefault="000E0E0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Loterijų ir lošimų mokesčio tarifas ir dydis</w:t>
      </w:r>
    </w:p>
    <w:p w14:paraId="48B84D27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Organizuojant loterijas, loterijų ir lošimų mokesčio bazei taikomas 5 procentų mokesčio tarifas.</w:t>
      </w:r>
    </w:p>
    <w:p w14:paraId="48B84D28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Organizuojant bingo, totalizatorių ir la</w:t>
      </w:r>
      <w:r>
        <w:rPr>
          <w:color w:val="000000"/>
        </w:rPr>
        <w:t xml:space="preserve">žybas, loterijų ir lošimų mokesčio bazei taikomas 15 procentų mokesčio tarifas. </w:t>
      </w:r>
    </w:p>
    <w:p w14:paraId="48B84D29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Organizuojant lošimus automatais, stalo lošimus, nustatomas fiksuotas loterijų ir lošimų mokesčio dydis už kiekvieną lošimo įrenginį:</w:t>
      </w:r>
    </w:p>
    <w:p w14:paraId="48B84D2A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už A kategorijos lošimo autom</w:t>
      </w:r>
      <w:r>
        <w:rPr>
          <w:color w:val="000000"/>
        </w:rPr>
        <w:t>atą – 1800 litų per mokestinį laikotarpį;</w:t>
      </w:r>
    </w:p>
    <w:p w14:paraId="48B84D2B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už B kategorijos lošimo automatą – 600 litų per mokestinį laikotarpį;</w:t>
      </w:r>
    </w:p>
    <w:p w14:paraId="48B84D2C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už ruletės, kortų arba kauliukų stalą – 12 000 litų per mokestinį laikotarpį.</w:t>
      </w:r>
    </w:p>
    <w:p w14:paraId="48B84D2D" w14:textId="77777777" w:rsidR="006E7896" w:rsidRDefault="000E0E08"/>
    <w:p w14:paraId="48B84D2E" w14:textId="77777777" w:rsidR="006E7896" w:rsidRDefault="000E0E08">
      <w:pPr>
        <w:jc w:val="center"/>
        <w:rPr>
          <w:b/>
          <w:color w:val="000000"/>
        </w:rPr>
      </w:pPr>
      <w:r>
        <w:rPr>
          <w:b/>
          <w:color w:val="000000"/>
        </w:rPr>
        <w:t>TREČIASIS</w:t>
      </w:r>
      <w:r>
        <w:rPr>
          <w:b/>
          <w:color w:val="000000"/>
        </w:rPr>
        <w:t xml:space="preserve"> SKIRSNIS</w:t>
      </w:r>
    </w:p>
    <w:p w14:paraId="48B84D2F" w14:textId="77777777" w:rsidR="006E7896" w:rsidRDefault="000E0E08">
      <w:pPr>
        <w:jc w:val="center"/>
        <w:rPr>
          <w:b/>
          <w:color w:val="000000"/>
        </w:rPr>
      </w:pPr>
      <w:r>
        <w:rPr>
          <w:b/>
          <w:color w:val="000000"/>
        </w:rPr>
        <w:t>LOTERIJŲ IR LOŠIMŲ MOK</w:t>
      </w:r>
      <w:r>
        <w:rPr>
          <w:b/>
          <w:color w:val="000000"/>
        </w:rPr>
        <w:t xml:space="preserve">ESČIO APSKAIČIAVIMO </w:t>
      </w:r>
    </w:p>
    <w:p w14:paraId="48B84D30" w14:textId="77777777" w:rsidR="006E7896" w:rsidRDefault="000E0E08">
      <w:pPr>
        <w:jc w:val="center"/>
        <w:rPr>
          <w:b/>
          <w:color w:val="000000"/>
        </w:rPr>
      </w:pPr>
      <w:r>
        <w:rPr>
          <w:b/>
          <w:color w:val="000000"/>
        </w:rPr>
        <w:t>BEI SUMOKĖJIMO TVARKA</w:t>
      </w:r>
    </w:p>
    <w:p w14:paraId="48B84D31" w14:textId="77777777" w:rsidR="006E7896" w:rsidRDefault="006E7896">
      <w:pPr>
        <w:ind w:firstLine="708"/>
      </w:pPr>
    </w:p>
    <w:p w14:paraId="48B84D32" w14:textId="77777777" w:rsidR="006E7896" w:rsidRDefault="000E0E0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Loterijų ir lošimų mokesčio apskaičiavimo bei sumokėjimo tvarka</w:t>
      </w:r>
    </w:p>
    <w:p w14:paraId="48B84D33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Juridiniai asmenys, organizuojantys loterijas, bingo, totalizatorių, lažybas, taikydami šio Įstatymo 5 straipsnio 1 arba 2 </w:t>
      </w:r>
      <w:r>
        <w:rPr>
          <w:color w:val="000000"/>
        </w:rPr>
        <w:t>dalyje nustatytą mokesčio tarifą, loterijų ir lošimų mokestį apskaičiuoja ir sumoka į biudžetą kiekvienam mokestiniam laikotarpiui pasibaigus iki kito mokestinio laikotarpio pirmo mėnesio 15 dienos.</w:t>
      </w:r>
    </w:p>
    <w:p w14:paraId="48B84D34" w14:textId="77777777" w:rsidR="006E7896" w:rsidRDefault="000E0E08">
      <w:pPr>
        <w:ind w:firstLine="708"/>
        <w:jc w:val="both"/>
        <w:rPr>
          <w:b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Juridiniai asmenys, organizuojantys stalo lošimus </w:t>
      </w:r>
      <w:r>
        <w:rPr>
          <w:color w:val="000000"/>
        </w:rPr>
        <w:t xml:space="preserve">(ruletės, kortų, kauliukų lošimus) ir lošimus automatais, už kiekvieną įrengtą ruletės, kortų arba kauliukų stalą ir įrengtą lošimo automatą loterijų ir lošimų mokestį apskaičiuoja taikydamos šio Įstatymo 5 straipsnio 3 dalyje nustatytus dydžius ir sumoka </w:t>
      </w:r>
      <w:r>
        <w:rPr>
          <w:color w:val="000000"/>
        </w:rPr>
        <w:t>ne vėliau kaip per 5 dienas nuo mokestinio laikotarpio pradžios. Loterijų ir lošimų mokesčio už kiekvieną lošimo įrenginį pirmasis mokestinis laikotarpis yra kalendorinių metų ketvirtis, kurį išduodamas, papildomas arba pakeičiamas leidimas atidaryti autom</w:t>
      </w:r>
      <w:r>
        <w:rPr>
          <w:color w:val="000000"/>
        </w:rPr>
        <w:t>atų, bingo saloną arba lošimo namus (kazino). Pirmąjį mokestinį laikotarpį loterijų ir lošimų mokestis už kiekvieną lošimo įrenginį apskaičiuojamas ir sumokamas ne vėliau kaip per 5 dienas nuo leidimo atidaryti automatų, bingo saloną arba lošimo namus (kaz</w:t>
      </w:r>
      <w:r>
        <w:rPr>
          <w:color w:val="000000"/>
        </w:rPr>
        <w:t>ino) išdavimo, papildymo arba pakeitimo dienos.</w:t>
      </w:r>
    </w:p>
    <w:p w14:paraId="48B84D35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Lošimų įrenginiai, už kuriuos mokamas fiksuoto dydžio loterijų ir lošimų mokestis, už kiekvieną mokestinį laikotarpį sumokėjus šį mokestį paženklinami specialiu ženklu Valstybinės lošimų priežiūros kom</w:t>
      </w:r>
      <w:r>
        <w:rPr>
          <w:color w:val="000000"/>
        </w:rPr>
        <w:t>isijos nustatyta tvarka.</w:t>
      </w:r>
    </w:p>
    <w:p w14:paraId="48B84D36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Loterijų ir lošimų mokestis sumokamas tam vietos mokesčio administratoriui, kurio teritorijoje yra įregistruota įmonė.</w:t>
      </w:r>
    </w:p>
    <w:p w14:paraId="48B84D37" w14:textId="77777777" w:rsidR="006E7896" w:rsidRDefault="000E0E08">
      <w:pPr>
        <w:ind w:firstLine="708"/>
      </w:pPr>
    </w:p>
    <w:p w14:paraId="48B84D38" w14:textId="77777777" w:rsidR="006E7896" w:rsidRDefault="000E0E08">
      <w:pPr>
        <w:ind w:left="2410" w:hanging="1701"/>
        <w:jc w:val="both"/>
        <w:rPr>
          <w:b/>
        </w:rPr>
      </w:pPr>
      <w:r>
        <w:rPr>
          <w:b/>
        </w:rPr>
        <w:t>7</w:t>
      </w:r>
      <w:r>
        <w:rPr>
          <w:b/>
        </w:rPr>
        <w:t xml:space="preserve"> straipsnis.</w:t>
      </w:r>
      <w:r>
        <w:rPr>
          <w:b/>
        </w:rPr>
        <w:tab/>
      </w:r>
      <w:r>
        <w:rPr>
          <w:b/>
        </w:rPr>
        <w:t>Loterijų ir lošimų mokesčio deklaracijų užpildymo tvarka ir pateikimo terminai</w:t>
      </w:r>
    </w:p>
    <w:p w14:paraId="48B84D39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Loterijas arba azartinius lošimus organizuojantys juridiniai asmenys loterijų ir lošimų mokesčio deklaracijas privalo pateikti tam vietos mokesčio administratoriui, kurio veiklos teritorijoje tas juridinis asmuo yra įregistruotas, kiekvienam kalendorinių</w:t>
      </w:r>
      <w:r>
        <w:rPr>
          <w:color w:val="000000"/>
        </w:rPr>
        <w:t xml:space="preserve"> metų ketvirčiui pasibaigus, ne vėliau kaip iki kito kalendorinių metų ketvirčio pirmo mėnesio 15 dienos. </w:t>
      </w:r>
    </w:p>
    <w:p w14:paraId="48B84D3A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Loterijų ir lošimų mokesčio deklaracijų formas ir jų užpildymo tvarką nustato centrinis mokesčio administratorius.</w:t>
      </w:r>
    </w:p>
    <w:p w14:paraId="48B84D3B" w14:textId="77777777" w:rsidR="006E7896" w:rsidRDefault="000E0E08"/>
    <w:p w14:paraId="48B84D3C" w14:textId="77777777" w:rsidR="006E7896" w:rsidRDefault="000E0E0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KETVIRTASIS</w:t>
      </w:r>
      <w:r>
        <w:rPr>
          <w:b/>
          <w:color w:val="000000"/>
        </w:rPr>
        <w:t xml:space="preserve"> SKIRSN</w:t>
      </w:r>
      <w:r>
        <w:rPr>
          <w:b/>
          <w:color w:val="000000"/>
        </w:rPr>
        <w:t>IS</w:t>
      </w:r>
    </w:p>
    <w:p w14:paraId="48B84D3D" w14:textId="77777777" w:rsidR="006E7896" w:rsidRDefault="000E0E0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LOTERIJŲ IR LOŠIMŲ MOKESČIO ĮSKAITYMAS</w:t>
      </w:r>
    </w:p>
    <w:p w14:paraId="48B84D3E" w14:textId="77777777" w:rsidR="006E7896" w:rsidRDefault="006E7896"/>
    <w:p w14:paraId="48B84D3F" w14:textId="77777777" w:rsidR="006E7896" w:rsidRDefault="000E0E0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Loterijų ir lošimų mokesčio įskaitymas</w:t>
      </w:r>
    </w:p>
    <w:p w14:paraId="48B84D40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Juridinių asmenų, organizuojančių didžiąsias loterijas pagal Loterijų įstatymą ir azartinius lošimus pagal Azartinių lošimų įstatymą, sumokėtas loter</w:t>
      </w:r>
      <w:r>
        <w:rPr>
          <w:color w:val="000000"/>
        </w:rPr>
        <w:t>ijų ir lošimų mokestis įskaitomas į valstybės biudžetą.</w:t>
      </w:r>
    </w:p>
    <w:p w14:paraId="48B84D41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Juridinių asmenų, organizuojančių mažąsias loterijas pagal Loterijų įstatymą, loterijų ir lošimų mokestis įskaitomas į tos savivaldybės, kuri išdavė licenciją rengti loteriją, biudžetą.</w:t>
      </w:r>
    </w:p>
    <w:p w14:paraId="48B84D42" w14:textId="77777777" w:rsidR="006E7896" w:rsidRDefault="000E0E08">
      <w:pPr>
        <w:keepNext/>
        <w:rPr>
          <w:b/>
          <w:color w:val="000000"/>
        </w:rPr>
      </w:pPr>
    </w:p>
    <w:p w14:paraId="48B84D43" w14:textId="77777777" w:rsidR="006E7896" w:rsidRDefault="000E0E08">
      <w:pPr>
        <w:keepNext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PENKTASIS</w:t>
      </w:r>
      <w:r>
        <w:rPr>
          <w:b/>
          <w:color w:val="000000"/>
        </w:rPr>
        <w:t xml:space="preserve"> SKIRSNIS</w:t>
      </w:r>
    </w:p>
    <w:p w14:paraId="48B84D44" w14:textId="77777777" w:rsidR="006E7896" w:rsidRDefault="000E0E0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BAIGIAMOSIOS NUOSTATOS</w:t>
      </w:r>
    </w:p>
    <w:p w14:paraId="48B84D45" w14:textId="77777777" w:rsidR="006E7896" w:rsidRDefault="006E7896">
      <w:pPr>
        <w:ind w:firstLine="708"/>
      </w:pPr>
    </w:p>
    <w:p w14:paraId="48B84D46" w14:textId="77777777" w:rsidR="006E7896" w:rsidRDefault="000E0E08">
      <w:pPr>
        <w:ind w:firstLine="708"/>
        <w:jc w:val="both"/>
        <w:rPr>
          <w:color w:val="000000"/>
        </w:rPr>
      </w:pPr>
      <w:r>
        <w:rPr>
          <w:b/>
          <w:color w:val="000000"/>
        </w:rPr>
        <w:t>9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straipsnis. </w:t>
      </w:r>
      <w:r>
        <w:rPr>
          <w:b/>
          <w:color w:val="000000"/>
        </w:rPr>
        <w:t>Atsakomybė už šio Įstatymo pažeidimus</w:t>
      </w:r>
    </w:p>
    <w:p w14:paraId="48B84D47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Už šio Įstatymo pažeidimus taikomos baudos ir delspinigiai Mokesčių administravimo įstatymo nustatyta tvarka.“</w:t>
      </w:r>
    </w:p>
    <w:p w14:paraId="48B84D48" w14:textId="77777777" w:rsidR="006E7896" w:rsidRDefault="000E0E08"/>
    <w:p w14:paraId="48B84D49" w14:textId="77777777" w:rsidR="006E7896" w:rsidRDefault="000E0E0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Įstatymo </w:t>
      </w:r>
      <w:r>
        <w:rPr>
          <w:b/>
          <w:color w:val="000000"/>
        </w:rPr>
        <w:t>įsigaliojimas</w:t>
      </w:r>
    </w:p>
    <w:p w14:paraId="48B84D4A" w14:textId="77777777" w:rsidR="006E7896" w:rsidRDefault="000E0E08"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2004 m. sausio 1 d.</w:t>
      </w:r>
    </w:p>
    <w:p w14:paraId="48B84D4B" w14:textId="77777777" w:rsidR="006E7896" w:rsidRDefault="006E7896">
      <w:pPr>
        <w:ind w:firstLine="708"/>
        <w:jc w:val="both"/>
        <w:rPr>
          <w:i/>
          <w:color w:val="000000"/>
        </w:rPr>
      </w:pPr>
    </w:p>
    <w:p w14:paraId="48B84D4C" w14:textId="77777777" w:rsidR="006E7896" w:rsidRDefault="000E0E08">
      <w:pPr>
        <w:ind w:firstLine="708"/>
        <w:jc w:val="both"/>
        <w:rPr>
          <w:i/>
          <w:color w:val="000000"/>
        </w:rPr>
      </w:pPr>
    </w:p>
    <w:p w14:paraId="48B84D4D" w14:textId="77777777" w:rsidR="006E7896" w:rsidRDefault="000E0E08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</w:t>
      </w:r>
      <w:bookmarkStart w:id="0" w:name="_GoBack"/>
      <w:bookmarkEnd w:id="0"/>
      <w:r>
        <w:rPr>
          <w:i/>
          <w:color w:val="000000"/>
        </w:rPr>
        <w:t xml:space="preserve"> šį Lietuvos Respublikos Seimo priimtą įstatymą.</w:t>
      </w:r>
    </w:p>
    <w:p w14:paraId="48B84D4E" w14:textId="77777777" w:rsidR="006E7896" w:rsidRDefault="006E7896">
      <w:pPr>
        <w:ind w:firstLine="708"/>
        <w:jc w:val="both"/>
      </w:pPr>
    </w:p>
    <w:p w14:paraId="48B84D4F" w14:textId="77777777" w:rsidR="006E7896" w:rsidRDefault="006E7896">
      <w:pPr>
        <w:ind w:firstLine="708"/>
        <w:jc w:val="both"/>
      </w:pPr>
    </w:p>
    <w:p w14:paraId="48B84D50" w14:textId="77777777" w:rsidR="006E7896" w:rsidRDefault="006E7896">
      <w:pPr>
        <w:ind w:firstLine="708"/>
        <w:jc w:val="both"/>
      </w:pPr>
    </w:p>
    <w:p w14:paraId="48B84D51" w14:textId="77777777" w:rsidR="006E7896" w:rsidRDefault="000E0E08">
      <w:pPr>
        <w:tabs>
          <w:tab w:val="right" w:pos="9639"/>
        </w:tabs>
      </w:pPr>
      <w:r>
        <w:t>RESPUBLIKOS PREZIDENTAS</w:t>
      </w:r>
      <w:r>
        <w:tab/>
        <w:t>ROLANDAS PAKSAS</w:t>
      </w:r>
    </w:p>
    <w:sectPr w:rsidR="006E7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84D55" w14:textId="77777777" w:rsidR="006E7896" w:rsidRDefault="000E0E08">
      <w:r>
        <w:separator/>
      </w:r>
    </w:p>
  </w:endnote>
  <w:endnote w:type="continuationSeparator" w:id="0">
    <w:p w14:paraId="48B84D56" w14:textId="77777777" w:rsidR="006E7896" w:rsidRDefault="000E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4D5C" w14:textId="77777777" w:rsidR="006E7896" w:rsidRDefault="000E0E0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8B84D5D" w14:textId="77777777" w:rsidR="006E7896" w:rsidRDefault="006E7896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4D5E" w14:textId="77777777" w:rsidR="006E7896" w:rsidRDefault="000E0E0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3</w:t>
    </w:r>
    <w:r>
      <w:rPr>
        <w:rFonts w:ascii="TimesLT" w:hAnsi="TimesLT"/>
      </w:rPr>
      <w:fldChar w:fldCharType="end"/>
    </w:r>
  </w:p>
  <w:p w14:paraId="48B84D5F" w14:textId="77777777" w:rsidR="006E7896" w:rsidRDefault="006E7896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4D61" w14:textId="77777777" w:rsidR="006E7896" w:rsidRDefault="006E789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84D53" w14:textId="77777777" w:rsidR="006E7896" w:rsidRDefault="000E0E08">
      <w:r>
        <w:separator/>
      </w:r>
    </w:p>
  </w:footnote>
  <w:footnote w:type="continuationSeparator" w:id="0">
    <w:p w14:paraId="48B84D54" w14:textId="77777777" w:rsidR="006E7896" w:rsidRDefault="000E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4D57" w14:textId="77777777" w:rsidR="006E7896" w:rsidRDefault="000E0E0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8B84D58" w14:textId="77777777" w:rsidR="006E7896" w:rsidRDefault="000E0E0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</w:instrText>
    </w:r>
    <w:r>
      <w:rPr>
        <w:lang w:val="en-GB"/>
      </w:rPr>
      <w:instrText xml:space="preserve">E  </w:instrText>
    </w:r>
    <w:r>
      <w:rPr>
        <w:lang w:val="en-GB"/>
      </w:rPr>
      <w:fldChar w:fldCharType="end"/>
    </w:r>
  </w:p>
  <w:p w14:paraId="48B84D59" w14:textId="77777777" w:rsidR="006E7896" w:rsidRDefault="006E789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4D5A" w14:textId="77777777" w:rsidR="006E7896" w:rsidRDefault="000E0E0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48B84D5B" w14:textId="77777777" w:rsidR="006E7896" w:rsidRDefault="006E789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4D60" w14:textId="77777777" w:rsidR="006E7896" w:rsidRDefault="006E789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80"/>
    <w:rsid w:val="000E0E08"/>
    <w:rsid w:val="006E7896"/>
    <w:rsid w:val="00C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B84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3471</Words>
  <Characters>1979</Characters>
  <Application>Microsoft Office Word</Application>
  <DocSecurity>0</DocSecurity>
  <Lines>16</Lines>
  <Paragraphs>10</Paragraphs>
  <ScaleCrop>false</ScaleCrop>
  <Company/>
  <LinksUpToDate>false</LinksUpToDate>
  <CharactersWithSpaces>5440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2014-10-06T13:32:00Z</dcterms:created>
  <dc:creator>marina.buivid@gmail.com</dc:creator>
  <lastModifiedBy>JUOSPONIENĖ Karolina</lastModifiedBy>
  <dcterms:modified xsi:type="dcterms:W3CDTF">2014-10-06T13:39:00Z</dcterms:modified>
  <revision>3</revision>
</coreProperties>
</file>