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PRIDĖTINĖS VERTĖS MOKESČIO ĮSTATYMO 28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2007 m. spalio 25 d. Nr. X-1305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t xml:space="preserve">(Žin., 2002, Nr. </w:t>
      </w:r>
      <w:fldSimple w:instr="HYPERLINK https://www.e-tar.lt/portal/lt/legalAct/TAR.ED68997709F5 \t _blank">
        <w:r>
          <w:rPr>
            <w:u w:val="single"/>
            <w:color w:val="0000FF" w:themeColor="hyperlink"/>
          </w:rPr>
          <w:t>35-1271</w:t>
        </w:r>
      </w:fldSimple>
      <w:r>
        <w:t xml:space="preserve">, Nr. </w:t>
      </w:r>
      <w:fldSimple w:instr="HYPERLINK https://www.e-tar.lt/portal/lt/legalAct/TAR.1F673E8F0275 \t _blank">
        <w:r>
          <w:rPr>
            <w:u w:val="single"/>
            <w:color w:val="0000FF" w:themeColor="hyperlink"/>
          </w:rPr>
          <w:t>117-5243</w:t>
        </w:r>
      </w:fldSimple>
      <w:r>
        <w:t xml:space="preserve">; 2003, Nr. </w:t>
      </w:r>
      <w:fldSimple w:instr="HYPERLINK https://www.e-tar.lt/portal/lt/legalAct/TAR.BE308623E2E0 \t _blank">
        <w:r>
          <w:rPr>
            <w:u w:val="single"/>
            <w:color w:val="0000FF" w:themeColor="hyperlink"/>
          </w:rPr>
          <w:t>75-3474</w:t>
        </w:r>
      </w:fldSimple>
      <w:r>
        <w:t xml:space="preserve">; 2004, Nr. </w:t>
      </w:r>
      <w:fldSimple w:instr="HYPERLINK https://www.e-tar.lt/portal/lt/legalAct/TAR.AC724525A9B9 \t _blank">
        <w:r>
          <w:rPr>
            <w:u w:val="single"/>
            <w:color w:val="0000FF" w:themeColor="hyperlink"/>
          </w:rPr>
          <w:t>17-505</w:t>
        </w:r>
      </w:fldSimple>
      <w:r>
        <w:t>)</w:t>
      </w:r>
    </w:p>
    <w:p>
      <w:pPr>
        <w:ind w:firstLine="709"/>
        <w:jc w:val="both"/>
      </w:pPr>
    </w:p>
    <w:p>
      <w:pPr>
        <w:widowControl w:val="0"/>
        <w:shd w:val="clear" w:color="auto" w:fill="FFFFFF"/>
        <w:tabs>
          <w:tab w:val="left" w:pos="480"/>
        </w:tabs>
        <w:ind w:firstLine="709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28 straipsnio 6 dalies pakeitimas</w:t>
      </w:r>
    </w:p>
    <w:p>
      <w:pPr>
        <w:widowControl w:val="0"/>
        <w:shd w:val="clear" w:color="auto" w:fill="FFFFFF"/>
        <w:ind w:firstLine="709"/>
        <w:jc w:val="both"/>
      </w:pPr>
      <w:r>
        <w:t>28 straipsnio 6 dalyje po žodžių „investicinių kintamojo kapitalo bendrovių“ įrašyti žodžius „uždaro tipo investicinių bendrovių“ ir šią dalį išdėstyti taip:</w:t>
      </w:r>
    </w:p>
    <w:p>
      <w:pPr>
        <w:widowControl w:val="0"/>
        <w:shd w:val="clear" w:color="auto" w:fill="FFFFFF"/>
        <w:ind w:firstLine="709"/>
        <w:jc w:val="both"/>
      </w:pPr>
      <w:r>
        <w:t>„</w:t>
      </w:r>
      <w:r>
        <w:t>6</w:t>
      </w:r>
      <w:r>
        <w:t>. PVM neapmokestinamos investicinių kintamojo kapitalo bendrovių, uždaro tipo investicinių bendrovių, investicinių fondų ir pensijų fondų turto valdymo paslaugos.“</w:t>
      </w:r>
    </w:p>
    <w:p>
      <w:pPr>
        <w:ind w:firstLine="709"/>
        <w:jc w:val="both"/>
      </w:pPr>
    </w:p>
    <w:p>
      <w:pPr>
        <w:widowControl w:val="0"/>
        <w:shd w:val="clear" w:color="auto" w:fill="FFFFFF"/>
        <w:tabs>
          <w:tab w:val="left" w:pos="480"/>
        </w:tabs>
        <w:ind w:firstLine="709"/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>Įstatymo įsigaliojimas</w:t>
      </w:r>
    </w:p>
    <w:p>
      <w:pPr>
        <w:widowControl w:val="0"/>
        <w:shd w:val="clear" w:color="auto" w:fill="FFFFFF"/>
        <w:ind w:firstLine="709"/>
        <w:jc w:val="both"/>
      </w:pPr>
      <w:r>
        <w:t>Šis įstatymas įsigalioja nuo 2008 m. gegužės 1 d.</w:t>
      </w:r>
    </w:p>
    <w:p>
      <w:pPr>
        <w:widowControl w:val="0"/>
        <w:shd w:val="clear" w:color="auto" w:fill="FFFFFF"/>
        <w:ind w:firstLine="709"/>
        <w:jc w:val="both"/>
      </w:pPr>
    </w:p>
    <w:p>
      <w:pPr>
        <w:widowControl w:val="0"/>
        <w:shd w:val="clear" w:color="auto" w:fill="FFFFFF"/>
        <w:ind w:firstLine="709"/>
        <w:jc w:val="both"/>
      </w:pPr>
    </w:p>
    <w:p>
      <w:pPr>
        <w:widowControl w:val="0"/>
        <w:shd w:val="clear" w:color="auto" w:fill="FFFFFF"/>
        <w:tabs>
          <w:tab w:val="left" w:pos="7906"/>
        </w:tabs>
        <w:ind w:firstLine="709"/>
        <w:jc w:val="both"/>
        <w:rPr>
          <w:iCs/>
        </w:rPr>
      </w:pPr>
      <w:r>
        <w:rPr>
          <w:i/>
          <w:iCs/>
        </w:rPr>
        <w:t>Skelbiu šį Lietuvos Respublikos Seimo priimtą įstatymą.</w:t>
      </w:r>
    </w:p>
    <w:p>
      <w:pPr>
        <w:widowControl w:val="0"/>
        <w:shd w:val="clear" w:color="auto" w:fill="FFFFFF"/>
        <w:tabs>
          <w:tab w:val="left" w:pos="7906"/>
        </w:tabs>
        <w:ind w:firstLine="709"/>
        <w:jc w:val="both"/>
        <w:rPr>
          <w:iCs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682</Characters>
  <Application>Microsoft Office Word</Application>
  <DocSecurity>4</DocSecurity>
  <Lines>23</Lines>
  <Paragraphs>16</Paragraphs>
  <ScaleCrop>false</ScaleCrop>
  <Company/>
  <LinksUpToDate>false</LinksUpToDate>
  <CharactersWithSpaces>777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2015-09-21T01:18:00Z</dcterms:created>
  <dc:creator>Rima</dc:creator>
  <lastModifiedBy>Adlib User</lastModifiedBy>
  <dcterms:modified xsi:type="dcterms:W3CDTF">2015-09-21T01:18:00Z</dcterms:modified>
  <revision>2</revision>
  <dc:title>LIETUVOS RESPUBLIKOS PRIDĖTINĖS VERTĖS MOKESČIO ĮSTATYMO 28 STRAIPSNIO PAKEITIMO ĮSTATYMAS</dc:title>
</coreProperties>
</file>