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EE71" w14:textId="62F74E33" w:rsidR="00216191" w:rsidRDefault="00216191">
      <w:pPr>
        <w:tabs>
          <w:tab w:val="center" w:pos="4153"/>
          <w:tab w:val="right" w:pos="8306"/>
        </w:tabs>
        <w:rPr>
          <w:lang w:val="en-GB"/>
        </w:rPr>
      </w:pPr>
    </w:p>
    <w:p w14:paraId="7C2DEE72" w14:textId="77777777" w:rsidR="00216191" w:rsidRDefault="001E43CA">
      <w:pPr>
        <w:jc w:val="center"/>
        <w:rPr>
          <w:b/>
        </w:rPr>
      </w:pPr>
      <w:r>
        <w:rPr>
          <w:b/>
          <w:lang w:eastAsia="lt-LT"/>
        </w:rPr>
        <w:pict w14:anchorId="7C2DEF6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AUTOMOBILIŲ KELIŲ DIREKCIJOS PRIE SUSISIEKIMO MINISTERIJOS GENERALINIO DIREKTORIAUS</w:t>
      </w:r>
    </w:p>
    <w:p w14:paraId="7C2DEE73" w14:textId="77777777" w:rsidR="00216191" w:rsidRDefault="00216191">
      <w:pPr>
        <w:jc w:val="center"/>
      </w:pPr>
    </w:p>
    <w:p w14:paraId="7C2DEE74" w14:textId="77777777" w:rsidR="00216191" w:rsidRDefault="001E43CA">
      <w:pPr>
        <w:jc w:val="center"/>
        <w:rPr>
          <w:b/>
          <w:spacing w:val="60"/>
        </w:rPr>
      </w:pPr>
      <w:r>
        <w:rPr>
          <w:b/>
          <w:spacing w:val="60"/>
        </w:rPr>
        <w:t>ĮSAKYMAS</w:t>
      </w:r>
    </w:p>
    <w:p w14:paraId="7C2DEE75" w14:textId="77777777" w:rsidR="00216191" w:rsidRDefault="001E43CA">
      <w:pPr>
        <w:jc w:val="center"/>
        <w:rPr>
          <w:b/>
        </w:rPr>
      </w:pPr>
      <w:r>
        <w:rPr>
          <w:b/>
        </w:rPr>
        <w:t xml:space="preserve">DĖL LIETUVOS AUTOMOBILIŲ KELIŲ DIREKCIJOS PRIE SUSISIEKIMO MINISTERIJOS GENERALINIO DIREKTORIAUS 2007 M. SAUSIO 30 D. </w:t>
      </w:r>
      <w:r>
        <w:rPr>
          <w:b/>
        </w:rPr>
        <w:t>ĮSAKYMO NR. V-16 „DĖL AUTOMOBILIŲ KELIŲ MINERALINIŲ MEDŽIAGŲ TECHNINIŲ REIKALAVIMŲ APRAŠO TRA MIN 07 PATVIRTINIMO“ PAKEITIMO</w:t>
      </w:r>
    </w:p>
    <w:p w14:paraId="7C2DEE76" w14:textId="77777777" w:rsidR="00216191" w:rsidRDefault="00216191">
      <w:pPr>
        <w:jc w:val="center"/>
      </w:pPr>
    </w:p>
    <w:p w14:paraId="7C2DEE77" w14:textId="77777777" w:rsidR="00216191" w:rsidRDefault="001E43CA">
      <w:pPr>
        <w:jc w:val="center"/>
      </w:pPr>
      <w:r>
        <w:t>2008 m. vasario 29 d. Nr. V-44</w:t>
      </w:r>
    </w:p>
    <w:p w14:paraId="7C2DEE78" w14:textId="77777777" w:rsidR="00216191" w:rsidRDefault="001E43CA">
      <w:pPr>
        <w:jc w:val="center"/>
      </w:pPr>
      <w:r>
        <w:t>Vilnius</w:t>
      </w:r>
    </w:p>
    <w:p w14:paraId="7C2DEE79" w14:textId="77777777" w:rsidR="00216191" w:rsidRDefault="00216191">
      <w:pPr>
        <w:ind w:firstLine="709"/>
      </w:pPr>
    </w:p>
    <w:p w14:paraId="674F4F5F" w14:textId="77777777" w:rsidR="001E43CA" w:rsidRDefault="001E43CA">
      <w:pPr>
        <w:ind w:firstLine="709"/>
      </w:pPr>
    </w:p>
    <w:p w14:paraId="7C2DEE7C" w14:textId="52533AAE" w:rsidR="00216191" w:rsidRDefault="001E43CA" w:rsidP="001E43CA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Automobilių kelių mineralinių medžiagų techninių reikalavimų aprašą TRA MIN 07, p</w:t>
      </w:r>
      <w:r>
        <w:t xml:space="preserve">atvirtintą Lietuvos automobilių kelių direkcijos prie Susisiekimo ministerijos generalinio direktoriaus 2007 m. sausio 30 d. įsakymu Nr. V-16 „Dėl Automobilių kelių mineralinių medžiagų techninių reikalavimų aprašo TRA MIN 07 patvirtinimo“ ir </w:t>
      </w:r>
      <w:r>
        <w:rPr>
          <w:spacing w:val="60"/>
        </w:rPr>
        <w:t>išdėstau</w:t>
      </w:r>
      <w:r>
        <w:t xml:space="preserve"> 4 pr</w:t>
      </w:r>
      <w:r>
        <w:t>iedą nauja redakcija (pridedama).</w:t>
      </w:r>
    </w:p>
    <w:p w14:paraId="1CE226FA" w14:textId="21BFCA3C" w:rsidR="001E43CA" w:rsidRDefault="001E43CA">
      <w:pPr>
        <w:tabs>
          <w:tab w:val="right" w:pos="9639"/>
        </w:tabs>
      </w:pPr>
    </w:p>
    <w:p w14:paraId="6BD51129" w14:textId="77777777" w:rsidR="001E43CA" w:rsidRDefault="001E43CA">
      <w:pPr>
        <w:tabs>
          <w:tab w:val="right" w:pos="9639"/>
        </w:tabs>
      </w:pPr>
    </w:p>
    <w:p w14:paraId="680033D3" w14:textId="77777777" w:rsidR="001E43CA" w:rsidRDefault="001E43CA">
      <w:pPr>
        <w:tabs>
          <w:tab w:val="right" w:pos="9639"/>
        </w:tabs>
      </w:pPr>
    </w:p>
    <w:p w14:paraId="7C2DEE7E" w14:textId="7F4A886A" w:rsidR="00216191" w:rsidRDefault="001E43CA" w:rsidP="001E43CA">
      <w:pPr>
        <w:tabs>
          <w:tab w:val="right" w:pos="9639"/>
        </w:tabs>
      </w:pPr>
      <w:r>
        <w:rPr>
          <w:caps/>
        </w:rPr>
        <w:t>GENERALINIS DIREKTORIUS</w:t>
      </w:r>
      <w:r>
        <w:rPr>
          <w:caps/>
        </w:rPr>
        <w:tab/>
        <w:t>VIRGAUDAS PUODŽIUKAS</w:t>
      </w:r>
    </w:p>
    <w:bookmarkStart w:id="0" w:name="_GoBack" w:displacedByCustomXml="prev"/>
    <w:p w14:paraId="7C2DEE7F" w14:textId="63EA2EEB" w:rsidR="00216191" w:rsidRDefault="00216191">
      <w:pPr>
        <w:widowControl w:val="0"/>
        <w:shd w:val="clear" w:color="auto" w:fill="FFFFFF"/>
        <w:tabs>
          <w:tab w:val="right" w:pos="9071"/>
        </w:tabs>
        <w:ind w:firstLine="709"/>
      </w:pPr>
    </w:p>
    <w:p w14:paraId="6AD10F13" w14:textId="77777777" w:rsidR="001E43CA" w:rsidRDefault="001E43CA">
      <w:pPr>
        <w:widowControl w:val="0"/>
        <w:shd w:val="clear" w:color="auto" w:fill="FFFFFF"/>
        <w:tabs>
          <w:tab w:val="right" w:pos="9071"/>
        </w:tabs>
        <w:ind w:firstLine="709"/>
        <w:sectPr w:rsidR="001E43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cols w:space="60"/>
          <w:noEndnote/>
          <w:titlePg/>
          <w:docGrid w:linePitch="326"/>
        </w:sectPr>
      </w:pPr>
    </w:p>
    <w:p w14:paraId="7C2DEE81" w14:textId="11757D25" w:rsidR="00216191" w:rsidRDefault="001E43CA">
      <w:pPr>
        <w:widowControl w:val="0"/>
        <w:shd w:val="clear" w:color="auto" w:fill="FFFFFF"/>
        <w:ind w:firstLine="7923"/>
      </w:pPr>
      <w:r>
        <w:lastRenderedPageBreak/>
        <w:t>PATVIRTINTA</w:t>
      </w:r>
    </w:p>
    <w:p w14:paraId="7C2DEE82" w14:textId="77777777" w:rsidR="00216191" w:rsidRDefault="001E43CA">
      <w:pPr>
        <w:widowControl w:val="0"/>
        <w:shd w:val="clear" w:color="auto" w:fill="FFFFFF"/>
        <w:ind w:firstLine="7923"/>
      </w:pPr>
      <w:r>
        <w:t xml:space="preserve">Lietuvos automobilių kelių </w:t>
      </w:r>
      <w:r>
        <w:t>direkcijos prie Susisiekimo ministerijos</w:t>
      </w:r>
    </w:p>
    <w:p w14:paraId="7C2DEE83" w14:textId="77777777" w:rsidR="00216191" w:rsidRDefault="001E43CA">
      <w:pPr>
        <w:widowControl w:val="0"/>
        <w:shd w:val="clear" w:color="auto" w:fill="FFFFFF"/>
        <w:ind w:firstLine="7923"/>
      </w:pPr>
      <w:r>
        <w:t>generalinio direktoriaus 2007 m. sausio 30 d. įsakymu Nr. V-16</w:t>
      </w:r>
    </w:p>
    <w:p w14:paraId="7C2DEE84" w14:textId="77777777" w:rsidR="00216191" w:rsidRDefault="001E43CA">
      <w:pPr>
        <w:widowControl w:val="0"/>
        <w:shd w:val="clear" w:color="auto" w:fill="FFFFFF"/>
        <w:ind w:firstLine="7923"/>
      </w:pPr>
      <w:r>
        <w:t>(Lietuvos automobilių kelių direkcijos prie Susisiekimo ministerijos</w:t>
      </w:r>
    </w:p>
    <w:p w14:paraId="7C2DEE85" w14:textId="77777777" w:rsidR="00216191" w:rsidRDefault="001E43CA">
      <w:pPr>
        <w:widowControl w:val="0"/>
        <w:shd w:val="clear" w:color="auto" w:fill="FFFFFF"/>
        <w:ind w:firstLine="7923"/>
      </w:pPr>
      <w:r>
        <w:t>generalinio direktoriaus 2008 m. vasario 29 d. įsakymo Nr. V-44</w:t>
      </w:r>
    </w:p>
    <w:p w14:paraId="7C2DEE86" w14:textId="77777777" w:rsidR="00216191" w:rsidRDefault="001E43CA">
      <w:pPr>
        <w:widowControl w:val="0"/>
        <w:shd w:val="clear" w:color="auto" w:fill="FFFFFF"/>
        <w:ind w:firstLine="7923"/>
      </w:pPr>
      <w:r>
        <w:t>redakcija) Automobi</w:t>
      </w:r>
      <w:r>
        <w:t>lių kelių mineralinių medžiagų techninių</w:t>
      </w:r>
    </w:p>
    <w:p w14:paraId="7C2DEE87" w14:textId="77777777" w:rsidR="00216191" w:rsidRDefault="001E43CA">
      <w:pPr>
        <w:widowControl w:val="0"/>
        <w:shd w:val="clear" w:color="auto" w:fill="FFFFFF"/>
        <w:ind w:firstLine="7923"/>
      </w:pPr>
      <w:r>
        <w:t>reikalavimų aprašo TRA MIN 07 4 priedas (privalomasis)</w:t>
      </w:r>
    </w:p>
    <w:p w14:paraId="7C2DEE88" w14:textId="77777777" w:rsidR="00216191" w:rsidRDefault="00216191">
      <w:pPr>
        <w:ind w:firstLine="7923"/>
      </w:pPr>
    </w:p>
    <w:p w14:paraId="7C2DEE89" w14:textId="4C2154DE" w:rsidR="00216191" w:rsidRDefault="001E43CA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</w:rPr>
        <w:t>REIKALAVIMAI MINERALINĖMS MEDŽIAGOMS, NAUDOJAMOMS BITUMINIAMS MIŠINIAMS IR PAVIRŠIAUS APDOROJIMO SLUOKSNIAMS</w:t>
      </w:r>
    </w:p>
    <w:p w14:paraId="7C2DEE8A" w14:textId="77777777" w:rsidR="00216191" w:rsidRDefault="00216191">
      <w:pPr>
        <w:ind w:firstLine="709"/>
      </w:pPr>
    </w:p>
    <w:tbl>
      <w:tblPr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"/>
        <w:gridCol w:w="2496"/>
        <w:gridCol w:w="2139"/>
        <w:gridCol w:w="2139"/>
        <w:gridCol w:w="1070"/>
        <w:gridCol w:w="1189"/>
        <w:gridCol w:w="833"/>
        <w:gridCol w:w="951"/>
        <w:gridCol w:w="833"/>
        <w:gridCol w:w="833"/>
        <w:gridCol w:w="1427"/>
      </w:tblGrid>
      <w:tr w:rsidR="00216191" w14:paraId="7C2DEE8C" w14:textId="77777777">
        <w:trPr>
          <w:cantSplit/>
          <w:trHeight w:val="23"/>
          <w:tblHeader/>
        </w:trPr>
        <w:tc>
          <w:tcPr>
            <w:tcW w:w="14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8B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medžiagų savybės ir kategorijos</w:t>
            </w:r>
          </w:p>
        </w:tc>
      </w:tr>
      <w:tr w:rsidR="00216191" w14:paraId="7C2DEE98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8D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Punktas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8E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Naudojimo sritis Savybė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8F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AC 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0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AC PD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1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AC AN (AC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AS)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2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AC VN, AC VL, MA N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3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 </w:t>
            </w:r>
            <w:r>
              <w:rPr>
                <w:b/>
                <w:bCs/>
                <w:sz w:val="20"/>
              </w:rPr>
              <w:t>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4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SMA S, SMA N, MA S, AC VS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5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6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Šlamas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7" w14:textId="77777777" w:rsidR="00216191" w:rsidRDefault="001E43C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Paviršiaus apdorojimas</w:t>
            </w:r>
          </w:p>
        </w:tc>
      </w:tr>
      <w:tr w:rsidR="00216191" w14:paraId="7C2DEE9C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Medžiagos petrografinis aprašymas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B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216191" w14:paraId="7C2DEEA0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Dalelių sausasis tankis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9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216191" w14:paraId="7C2DEEA3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1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4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2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Stambioji ir </w:t>
            </w:r>
            <w:r>
              <w:rPr>
                <w:b/>
                <w:bCs/>
                <w:sz w:val="20"/>
              </w:rPr>
              <w:t>smulkioji mineralinė medžiaga</w:t>
            </w:r>
          </w:p>
        </w:tc>
      </w:tr>
      <w:tr w:rsidR="00216191" w14:paraId="7C2DEEA7" w14:textId="77777777">
        <w:trPr>
          <w:cantSplit/>
          <w:trHeight w:val="23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Granuliometrinė sudėtis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6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EC1" w14:textId="77777777">
        <w:trPr>
          <w:cantSplit/>
          <w:trHeight w:val="23"/>
          <w:tblHeader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8" w14:textId="77777777" w:rsidR="00216191" w:rsidRDefault="0021619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plačiosios frakcijos / tiekėjo deklaruojamos frakcijos pagal 2 lentelę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A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85 (2 eilutė),</w:t>
            </w:r>
          </w:p>
          <w:p w14:paraId="7C2DEEAB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85 (8 eilutė),</w:t>
            </w:r>
          </w:p>
          <w:p w14:paraId="7C2DEEAC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90/10 (3 eilutė),</w:t>
            </w:r>
          </w:p>
          <w:p w14:paraId="7C2DEEA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 (4–7 eilutės),</w:t>
            </w:r>
          </w:p>
          <w:p w14:paraId="7C2DEEA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 (9–17 eilutės),</w:t>
            </w:r>
          </w:p>
          <w:p w14:paraId="7C2DEEA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 xml:space="preserve">90/15 – kai </w:t>
            </w:r>
            <w:r>
              <w:rPr>
                <w:sz w:val="20"/>
              </w:rPr>
              <w:t>jungiamos 3 frakcijos,</w:t>
            </w:r>
          </w:p>
          <w:p w14:paraId="7C2DEEB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85 – mišiniams su d=0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B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85 (2 eilutė),</w:t>
            </w:r>
          </w:p>
          <w:p w14:paraId="7C2DEEB2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85 (8 eilutė),</w:t>
            </w:r>
          </w:p>
          <w:p w14:paraId="7C2DEEB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90/10 (3 eilutė),</w:t>
            </w:r>
          </w:p>
          <w:p w14:paraId="7C2DEEB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 (4–6 eilutės),</w:t>
            </w:r>
          </w:p>
          <w:p w14:paraId="7C2DEEB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 (9–13 eilutės),</w:t>
            </w:r>
          </w:p>
          <w:p w14:paraId="7C2DEEB6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85 – mišiniams su d=0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B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85 (2 eilutė),</w:t>
            </w:r>
          </w:p>
          <w:p w14:paraId="7C2DEEB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85 (8 eilutė, tik skaldytam smėliui),</w:t>
            </w:r>
          </w:p>
          <w:p w14:paraId="7C2DEEB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90/10 (3 eilutė),</w:t>
            </w:r>
          </w:p>
          <w:p w14:paraId="7C2DEEB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</w:t>
            </w:r>
            <w:r>
              <w:rPr>
                <w:sz w:val="20"/>
              </w:rPr>
              <w:t xml:space="preserve"> (4–7 eilutės),</w:t>
            </w:r>
          </w:p>
          <w:p w14:paraId="7C2DEEBB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 (9–15 eilutės)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BC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85 (2 eilutė),</w:t>
            </w:r>
          </w:p>
          <w:p w14:paraId="7C2DEEB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90/10 (3 eilutė),</w:t>
            </w:r>
          </w:p>
          <w:p w14:paraId="7C2DEEB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 (4–7 eilutės),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B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90/10 (3 eilutė),</w:t>
            </w:r>
          </w:p>
          <w:p w14:paraId="7C2DEEC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 (4–5, (6) eilutės)</w:t>
            </w:r>
          </w:p>
        </w:tc>
      </w:tr>
      <w:tr w:rsidR="00216191" w14:paraId="7C2DEEC6" w14:textId="77777777">
        <w:trPr>
          <w:cantSplit/>
          <w:trHeight w:val="23"/>
          <w:tblHeader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2" w14:textId="77777777" w:rsidR="00216191" w:rsidRDefault="0021619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gretimų frakcijų mišinys pagal 3 lentelę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G</w:t>
            </w:r>
            <w:r>
              <w:rPr>
                <w:sz w:val="20"/>
                <w:vertAlign w:val="subscript"/>
              </w:rPr>
              <w:t>20/15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G</w:t>
            </w:r>
            <w:r>
              <w:rPr>
                <w:sz w:val="20"/>
                <w:vertAlign w:val="subscript"/>
              </w:rPr>
              <w:t>20/17,5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16191" w14:paraId="7C2DEECA" w14:textId="77777777">
        <w:trPr>
          <w:cantSplit/>
          <w:trHeight w:val="23"/>
          <w:tblHeader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7" w14:textId="77777777" w:rsidR="00216191" w:rsidRDefault="0021619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gamintojo deklaruojamos tipiškos granul. </w:t>
            </w:r>
            <w:r>
              <w:rPr>
                <w:sz w:val="20"/>
              </w:rPr>
              <w:t>sudėties nuokrypiai pagal 4 lentelę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G</w:t>
            </w:r>
            <w:r>
              <w:rPr>
                <w:sz w:val="20"/>
                <w:vertAlign w:val="subscript"/>
              </w:rPr>
              <w:t>TC</w:t>
            </w:r>
            <w:r>
              <w:rPr>
                <w:sz w:val="20"/>
              </w:rPr>
              <w:t>10</w:t>
            </w:r>
          </w:p>
        </w:tc>
      </w:tr>
      <w:tr w:rsidR="00216191" w14:paraId="7C2DEED3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B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9.3.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C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dulkių kiekis</w:t>
            </w:r>
          </w:p>
          <w:p w14:paraId="7C2DEECD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pagal 5 lentelę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neskaldytam smėliui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i/>
                <w:iCs/>
                <w:sz w:val="20"/>
                <w:vertAlign w:val="subscript"/>
              </w:rPr>
              <w:t>5</w:t>
            </w:r>
            <w:r>
              <w:rPr>
                <w:sz w:val="20"/>
              </w:rPr>
              <w:t xml:space="preserve">; mineralinių medžiagų mišiniui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iCs/>
                <w:sz w:val="20"/>
                <w:vertAlign w:val="subscript"/>
              </w:rPr>
              <w:t>16</w:t>
            </w:r>
            <w:r>
              <w:rPr>
                <w:sz w:val="20"/>
              </w:rPr>
              <w:t xml:space="preserve">; nuo 2/5 iki 22/32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C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neskaldytam smėliui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3</w:t>
            </w:r>
            <w:r>
              <w:rPr>
                <w:i/>
                <w:iCs/>
                <w:sz w:val="20"/>
              </w:rPr>
              <w:t xml:space="preserve">; </w:t>
            </w:r>
            <w:r>
              <w:rPr>
                <w:sz w:val="20"/>
              </w:rPr>
              <w:t xml:space="preserve">iki 0/2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16</w:t>
            </w:r>
            <w:r>
              <w:rPr>
                <w:sz w:val="20"/>
              </w:rPr>
              <w:t xml:space="preserve">; iki 0/5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10</w:t>
            </w:r>
            <w:r>
              <w:rPr>
                <w:sz w:val="20"/>
              </w:rPr>
              <w:t xml:space="preserve">; nuo 2/5 iki 8/11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; nuo 8/16 ir didesniems </w:t>
            </w:r>
            <w:r>
              <w:rPr>
                <w:i/>
                <w:iCs/>
                <w:sz w:val="20"/>
              </w:rPr>
              <w:t>– f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iki 0/2 (neskald. smėliui)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; iki 0/2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16</w:t>
            </w:r>
            <w:r>
              <w:rPr>
                <w:sz w:val="20"/>
              </w:rPr>
              <w:t xml:space="preserve">; iki 0/5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10</w:t>
            </w:r>
            <w:r>
              <w:rPr>
                <w:sz w:val="20"/>
              </w:rPr>
              <w:t xml:space="preserve">; nuo2/5 iki 8/11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 xml:space="preserve">2; </w:t>
            </w:r>
            <w:r>
              <w:rPr>
                <w:sz w:val="20"/>
              </w:rPr>
              <w:t xml:space="preserve">nuo 8/16 ir didesniems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iki 0/2 (neskald. smėliui)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; iki 0/2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16</w:t>
            </w:r>
            <w:r>
              <w:rPr>
                <w:sz w:val="20"/>
              </w:rPr>
              <w:t xml:space="preserve">; nuo 2/5 iki 8/11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; nuo 11/16 ir didesniems –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2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f</w:t>
            </w:r>
            <w:r>
              <w:rPr>
                <w:sz w:val="20"/>
                <w:vertAlign w:val="subscript"/>
              </w:rPr>
              <w:t>0,5</w:t>
            </w:r>
          </w:p>
        </w:tc>
      </w:tr>
      <w:tr w:rsidR="00216191" w14:paraId="7C2DEED9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5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dulkių kokybė</w:t>
            </w:r>
          </w:p>
          <w:p w14:paraId="7C2DEED6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pagal 6 lentelę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6 lentelės 1 eilutę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16191" w14:paraId="7C2DEEE1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B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Stambiosios mineralinės medžiagos forma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C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>50</w:t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50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>30</w:t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30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iCs/>
                <w:sz w:val="20"/>
                <w:vertAlign w:val="subscript"/>
              </w:rPr>
              <w:t>20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iCs/>
                <w:sz w:val="20"/>
                <w:vertAlign w:val="subscript"/>
              </w:rPr>
              <w:t>20</w:t>
            </w:r>
            <w:r>
              <w:rPr>
                <w:iCs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D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iCs/>
                <w:sz w:val="20"/>
                <w:vertAlign w:val="subscript"/>
              </w:rPr>
              <w:t xml:space="preserve">15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iCs/>
                <w:sz w:val="20"/>
                <w:vertAlign w:val="subscript"/>
              </w:rPr>
              <w:t>15</w:t>
            </w:r>
            <w:r>
              <w:rPr>
                <w:iCs/>
                <w:sz w:val="20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iCs/>
                <w:sz w:val="20"/>
                <w:vertAlign w:val="subscript"/>
              </w:rPr>
              <w:t>20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iCs/>
                <w:sz w:val="20"/>
                <w:vertAlign w:val="subscript"/>
              </w:rPr>
              <w:t>20</w:t>
            </w:r>
            <w:r>
              <w:rPr>
                <w:iCs/>
                <w:sz w:val="20"/>
              </w:rPr>
              <w:t>)</w:t>
            </w:r>
          </w:p>
        </w:tc>
      </w:tr>
      <w:tr w:rsidR="00216191" w14:paraId="7C2DEEEA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2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3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Aptrupėjusio ir skelto paviršiaus dalelių procentas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mallCaps/>
                <w:sz w:val="20"/>
              </w:rPr>
              <w:t>C</w:t>
            </w:r>
            <w:r>
              <w:rPr>
                <w:smallCaps/>
                <w:sz w:val="20"/>
                <w:vertAlign w:val="subscript"/>
              </w:rPr>
              <w:t>nr</w:t>
            </w:r>
            <w:r>
              <w:rPr>
                <w:smallCaps/>
                <w:sz w:val="20"/>
              </w:rPr>
              <w:t xml:space="preserve">;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50/30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mallCaps/>
                <w:sz w:val="20"/>
              </w:rPr>
              <w:t>C</w:t>
            </w:r>
            <w:r>
              <w:rPr>
                <w:smallCaps/>
                <w:sz w:val="20"/>
                <w:vertAlign w:val="subscript"/>
              </w:rPr>
              <w:t>nr</w:t>
            </w:r>
            <w:r>
              <w:rPr>
                <w:smallCaps/>
                <w:sz w:val="20"/>
              </w:rPr>
              <w:t xml:space="preserve">;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50/30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6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90/1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100/0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90/1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100/0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100/0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90/1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100/0</w:t>
            </w:r>
          </w:p>
        </w:tc>
      </w:tr>
      <w:tr w:rsidR="00216191" w14:paraId="7C2DEEEC" w14:textId="77777777">
        <w:trPr>
          <w:cantSplit/>
          <w:trHeight w:val="23"/>
          <w:tblHeader/>
        </w:trPr>
        <w:tc>
          <w:tcPr>
            <w:tcW w:w="14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B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medžiagų savybės ir kategorijos</w:t>
            </w:r>
          </w:p>
        </w:tc>
      </w:tr>
      <w:tr w:rsidR="00216191" w14:paraId="7C2DEEF2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E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Smulkios mineralinės medžiagos 0/2 mm kampuotumas (šiurkštumas)</w:t>
            </w:r>
          </w:p>
        </w:tc>
        <w:tc>
          <w:tcPr>
            <w:tcW w:w="8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E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E</w:t>
            </w:r>
            <w:r>
              <w:rPr>
                <w:i/>
                <w:iCs/>
                <w:sz w:val="20"/>
                <w:vertAlign w:val="subscript"/>
              </w:rPr>
              <w:t>CS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deklaruojama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E</w:t>
            </w:r>
            <w:r>
              <w:rPr>
                <w:i/>
                <w:iCs/>
                <w:sz w:val="20"/>
                <w:vertAlign w:val="subscript"/>
              </w:rPr>
              <w:t>CS</w:t>
            </w:r>
            <w:r>
              <w:rPr>
                <w:sz w:val="20"/>
              </w:rPr>
              <w:t>35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E</w:t>
            </w:r>
            <w:r>
              <w:rPr>
                <w:i/>
                <w:iCs/>
                <w:sz w:val="20"/>
                <w:vertAlign w:val="subscript"/>
              </w:rPr>
              <w:t>CS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deklaruojama</w:t>
            </w:r>
          </w:p>
        </w:tc>
      </w:tr>
      <w:tr w:rsidR="00216191" w14:paraId="7C2DEEFA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4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trupinimui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neturi viršyti 1 priedo </w:t>
            </w:r>
            <w:r>
              <w:rPr>
                <w:sz w:val="20"/>
              </w:rPr>
              <w:t>didžiausių reikšmių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6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  <w:r>
              <w:rPr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i/>
                <w:iCs/>
                <w:sz w:val="20"/>
                <w:vertAlign w:val="subscript"/>
              </w:rPr>
              <w:t>22</w:t>
            </w:r>
            <w:r>
              <w:rPr>
                <w:i/>
                <w:iCs/>
                <w:sz w:val="20"/>
              </w:rPr>
              <w:t xml:space="preserve"> (LA</w:t>
            </w:r>
            <w:r>
              <w:rPr>
                <w:i/>
                <w:iCs/>
                <w:sz w:val="20"/>
                <w:vertAlign w:val="subscript"/>
              </w:rPr>
              <w:t>25</w:t>
            </w:r>
            <w:r>
              <w:rPr>
                <w:i/>
                <w:iCs/>
                <w:sz w:val="20"/>
              </w:rPr>
              <w:t>); SZ</w:t>
            </w:r>
            <w:r>
              <w:rPr>
                <w:i/>
                <w:iCs/>
                <w:sz w:val="20"/>
                <w:vertAlign w:val="subscript"/>
              </w:rPr>
              <w:t>26</w:t>
            </w:r>
            <w:r>
              <w:rPr>
                <w:i/>
                <w:iCs/>
                <w:sz w:val="20"/>
              </w:rPr>
              <w:t xml:space="preserve"> (LA</w:t>
            </w:r>
            <w:r>
              <w:rPr>
                <w:i/>
                <w:iCs/>
                <w:sz w:val="20"/>
                <w:vertAlign w:val="subscript"/>
              </w:rPr>
              <w:t>30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i/>
                <w:iCs/>
                <w:sz w:val="20"/>
                <w:vertAlign w:val="subscript"/>
              </w:rPr>
              <w:t>18</w:t>
            </w:r>
            <w:r>
              <w:rPr>
                <w:i/>
                <w:iCs/>
                <w:sz w:val="20"/>
              </w:rPr>
              <w:t>(LA</w:t>
            </w:r>
            <w:r>
              <w:rPr>
                <w:i/>
                <w:iCs/>
                <w:sz w:val="20"/>
                <w:vertAlign w:val="subscript"/>
              </w:rPr>
              <w:t>20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18</w:t>
            </w:r>
            <w:r>
              <w:rPr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20</w:t>
            </w:r>
            <w:r>
              <w:rPr>
                <w:sz w:val="20"/>
              </w:rPr>
              <w:t xml:space="preserve">); </w:t>
            </w: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  <w:r>
              <w:rPr>
                <w:sz w:val="20"/>
              </w:rPr>
              <w:t>)</w:t>
            </w:r>
          </w:p>
        </w:tc>
      </w:tr>
      <w:tr w:rsidR="00216191" w14:paraId="7C2DEF05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B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C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Stambios mineralinės medžiagos atsparumas poliruojamumui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NR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deklaruojama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EF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iCs/>
                <w:sz w:val="20"/>
                <w:vertAlign w:val="subscript"/>
              </w:rPr>
              <w:t>NR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iCs/>
                <w:sz w:val="20"/>
                <w:vertAlign w:val="subscript"/>
              </w:rPr>
              <w:t>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mallCaps/>
                <w:sz w:val="20"/>
              </w:rPr>
              <w:t>PSV</w:t>
            </w:r>
            <w:r>
              <w:rPr>
                <w:smallCaps/>
                <w:sz w:val="20"/>
                <w:vertAlign w:val="subscript"/>
              </w:rPr>
              <w:t>NR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2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 xml:space="preserve">dek. </w:t>
            </w:r>
            <w:r>
              <w:rPr>
                <w:sz w:val="20"/>
              </w:rPr>
              <w:t xml:space="preserve">(48); </w:t>
            </w: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iCs/>
                <w:sz w:val="20"/>
                <w:vertAlign w:val="subscript"/>
              </w:rPr>
              <w:t>50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deklaruojama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mallCaps/>
                <w:sz w:val="20"/>
              </w:rPr>
              <w:t>PSV</w:t>
            </w:r>
            <w:r>
              <w:rPr>
                <w:smallCaps/>
                <w:sz w:val="20"/>
                <w:vertAlign w:val="subscript"/>
              </w:rPr>
              <w:t>44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50</w:t>
            </w:r>
          </w:p>
        </w:tc>
      </w:tr>
      <w:tr w:rsidR="00216191" w14:paraId="7C2DEF09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6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7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Įmirkio vertė, kaip atsparumo šalčiui įvertinimas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W</w:t>
            </w:r>
            <w:r>
              <w:rPr>
                <w:iCs/>
                <w:sz w:val="20"/>
                <w:vertAlign w:val="subscript"/>
              </w:rPr>
              <w:t>cm</w:t>
            </w:r>
            <w:r>
              <w:rPr>
                <w:iCs/>
                <w:sz w:val="20"/>
              </w:rPr>
              <w:t>0,5</w:t>
            </w:r>
          </w:p>
        </w:tc>
      </w:tr>
      <w:tr w:rsidR="00216191" w14:paraId="7C2DEF10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B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šaldymui ir atšildymui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C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iCs/>
                <w:sz w:val="20"/>
                <w:vertAlign w:val="sub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; (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i/>
                <w:iCs/>
                <w:sz w:val="20"/>
                <w:vertAlign w:val="subscript"/>
              </w:rPr>
              <w:t>2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0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216191" w14:paraId="7C2DEF19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2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Atsparumas šalčiui druskų tirpale </w:t>
            </w:r>
            <w:r>
              <w:rPr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8%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EF16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8%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EF1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bCs/>
                <w:sz w:val="20"/>
              </w:rPr>
              <w:t xml:space="preserve"> 8 %</w:t>
            </w:r>
          </w:p>
        </w:tc>
      </w:tr>
      <w:tr w:rsidR="00216191" w14:paraId="7C2DEF1E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B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Atsparumas šiluminiam smūgiui </w:t>
            </w:r>
            <w:r>
              <w:rPr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EF1C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EF1D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22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1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0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Suderinamumas (sukibimas) su bituminiais rišikliais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216191" w14:paraId="7C2DEF26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4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Bazalto „Sonnenbrand“ ženklai </w:t>
            </w:r>
            <w:r>
              <w:rPr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SB</w:t>
            </w:r>
            <w:r>
              <w:rPr>
                <w:sz w:val="20"/>
                <w:vertAlign w:val="subscript"/>
              </w:rPr>
              <w:t>SZ</w:t>
            </w:r>
            <w:r>
              <w:rPr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SB</w:t>
            </w:r>
            <w:r>
              <w:rPr>
                <w:sz w:val="20"/>
                <w:vertAlign w:val="subscript"/>
              </w:rPr>
              <w:t>LA</w:t>
            </w:r>
            <w:r>
              <w:rPr>
                <w:sz w:val="20"/>
              </w:rPr>
              <w:t>)</w:t>
            </w:r>
          </w:p>
        </w:tc>
      </w:tr>
      <w:tr w:rsidR="00216191" w14:paraId="7C2DEF2A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8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Stambiosios lengvos organinės priemaišos</w:t>
            </w:r>
          </w:p>
        </w:tc>
        <w:tc>
          <w:tcPr>
            <w:tcW w:w="11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sz w:val="20"/>
                <w:vertAlign w:val="subscript"/>
              </w:rPr>
              <w:t>LPC</w:t>
            </w:r>
            <w:r>
              <w:rPr>
                <w:sz w:val="20"/>
              </w:rPr>
              <w:t>0,10</w:t>
            </w:r>
          </w:p>
        </w:tc>
      </w:tr>
      <w:tr w:rsidR="00216191" w14:paraId="7C2DEF2D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B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4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C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Mikroužpildas (mineraliniai milteliai)</w:t>
            </w:r>
          </w:p>
        </w:tc>
      </w:tr>
      <w:tr w:rsidR="00216191" w14:paraId="7C2DEF32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2F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Granuliometrinė sudėtis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0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22 lentelę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1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37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10.2.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4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Kenksmingos mineralinės dulkės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5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6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3C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9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Vandens (drėgmės) kiekis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A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1 %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B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41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D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10.4.1.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E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Sausų tankintų mineralinių miltelių tuštymėtumas (Rigden)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3F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V</w:t>
            </w:r>
            <w:r>
              <w:rPr>
                <w:sz w:val="20"/>
                <w:vertAlign w:val="subscript"/>
              </w:rPr>
              <w:t>28/45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V</w:t>
            </w:r>
            <w:r>
              <w:rPr>
                <w:sz w:val="20"/>
                <w:vertAlign w:val="subscript"/>
              </w:rPr>
              <w:t>44/55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0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46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2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10.4.2.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3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„Delta žiedo ir rutulio“ rodiklis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4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Δ</w:t>
            </w:r>
            <w:r>
              <w:rPr>
                <w:sz w:val="20"/>
                <w:vertAlign w:val="subscript"/>
              </w:rPr>
              <w:t>R&amp;B</w:t>
            </w:r>
            <w:r>
              <w:rPr>
                <w:sz w:val="20"/>
              </w:rPr>
              <w:t>8/25; Δ</w:t>
            </w:r>
            <w:r>
              <w:rPr>
                <w:sz w:val="20"/>
                <w:vertAlign w:val="subscript"/>
              </w:rPr>
              <w:t>R&amp;B</w:t>
            </w:r>
            <w:r>
              <w:rPr>
                <w:sz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5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4B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7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8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Tirpumas vandenyje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9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WS</w:t>
            </w:r>
            <w:r>
              <w:rPr>
                <w:sz w:val="20"/>
                <w:vertAlign w:val="subscript"/>
              </w:rPr>
              <w:t>10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A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50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C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D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Jautrumas vandeniui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E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4F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55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1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2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Kalcio karbonato kiekis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3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CC</w:t>
            </w:r>
            <w:r>
              <w:rPr>
                <w:sz w:val="20"/>
                <w:vertAlign w:val="subscript"/>
              </w:rPr>
              <w:t>70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CC</w:t>
            </w:r>
            <w:r>
              <w:rPr>
                <w:sz w:val="20"/>
                <w:vertAlign w:val="subscript"/>
              </w:rPr>
              <w:t>80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CC</w:t>
            </w:r>
            <w:r>
              <w:rPr>
                <w:sz w:val="20"/>
                <w:vertAlign w:val="subscript"/>
              </w:rPr>
              <w:t>90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4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5A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6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7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Kalcio hidroksido kiekis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8" w14:textId="77777777" w:rsidR="00216191" w:rsidRDefault="001E43C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Ka</w:t>
            </w:r>
            <w:r>
              <w:rPr>
                <w:sz w:val="20"/>
              </w:rPr>
              <w:t xml:space="preserve">10; </w:t>
            </w:r>
            <w:r>
              <w:rPr>
                <w:i/>
                <w:sz w:val="20"/>
              </w:rPr>
              <w:t>Ka</w:t>
            </w:r>
            <w:r>
              <w:rPr>
                <w:sz w:val="20"/>
              </w:rPr>
              <w:t xml:space="preserve">20; </w:t>
            </w:r>
            <w:r>
              <w:rPr>
                <w:i/>
                <w:sz w:val="20"/>
              </w:rPr>
              <w:t>Ka</w:t>
            </w:r>
            <w:r>
              <w:rPr>
                <w:sz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9" w14:textId="77777777" w:rsidR="00216191" w:rsidRDefault="0021619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216191" w14:paraId="7C2DEF5E" w14:textId="77777777">
        <w:trPr>
          <w:cantSplit/>
          <w:trHeight w:val="23"/>
          <w:tblHeader/>
        </w:trPr>
        <w:tc>
          <w:tcPr>
            <w:tcW w:w="14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EF5B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kai statytojas (užsakovas), išskyrus SV dangos konstrukcijos klasę, turi ilgametę teigiamą patirtį naudoti ar naudoti iš dalies mineralinę medžiagą, kurios atsparumo trupinimui kategorija yra </w:t>
            </w: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sz w:val="20"/>
              </w:rPr>
              <w:t>/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  <w:r>
              <w:rPr>
                <w:sz w:val="20"/>
              </w:rPr>
              <w:t>.</w:t>
            </w:r>
          </w:p>
          <w:p w14:paraId="7C2DEF5C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2)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kai statytojas (užsakovas) turi ilgametę teigiamą</w:t>
            </w:r>
            <w:r>
              <w:rPr>
                <w:sz w:val="20"/>
              </w:rPr>
              <w:t xml:space="preserve"> patirtį naudoti ar naudoti iš dalies mineralinę medžiagą kurios atsparumo šaldymui ir atšildymui kategorija yra</w:t>
            </w:r>
            <w:r>
              <w:rPr>
                <w:i/>
                <w:iCs/>
                <w:sz w:val="20"/>
              </w:rPr>
              <w:t xml:space="preserve"> 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.</w:t>
            </w:r>
          </w:p>
          <w:p w14:paraId="7C2DEF5D" w14:textId="77777777" w:rsidR="00216191" w:rsidRDefault="001E43C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3)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nustatoma užsakovui (statytojui) ar pirkėjui pareikalavus.</w:t>
            </w:r>
          </w:p>
        </w:tc>
      </w:tr>
    </w:tbl>
    <w:p w14:paraId="7C2DEF5F" w14:textId="77777777" w:rsidR="00216191" w:rsidRDefault="001E43CA">
      <w:pPr>
        <w:jc w:val="center"/>
      </w:pPr>
      <w:r>
        <w:t>______________</w:t>
      </w:r>
    </w:p>
    <w:p w14:paraId="7C2DEF60" w14:textId="0EFE9BA9" w:rsidR="00216191" w:rsidRDefault="001E43CA"/>
    <w:bookmarkEnd w:id="0" w:displacedByCustomXml="next"/>
    <w:sectPr w:rsidR="00216191">
      <w:pgSz w:w="16839" w:h="11907" w:orient="landscape"/>
      <w:pgMar w:top="1701" w:right="1134" w:bottom="567" w:left="1134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EF64" w14:textId="77777777" w:rsidR="00216191" w:rsidRDefault="001E43CA">
      <w:r>
        <w:separator/>
      </w:r>
    </w:p>
  </w:endnote>
  <w:endnote w:type="continuationSeparator" w:id="0">
    <w:p w14:paraId="7C2DEF65" w14:textId="77777777" w:rsidR="00216191" w:rsidRDefault="001E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EF6A" w14:textId="77777777" w:rsidR="00216191" w:rsidRDefault="0021619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EF6B" w14:textId="77777777" w:rsidR="00216191" w:rsidRDefault="0021619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EF6D" w14:textId="77777777" w:rsidR="00216191" w:rsidRDefault="0021619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DEF62" w14:textId="77777777" w:rsidR="00216191" w:rsidRDefault="001E43CA">
      <w:r>
        <w:separator/>
      </w:r>
    </w:p>
  </w:footnote>
  <w:footnote w:type="continuationSeparator" w:id="0">
    <w:p w14:paraId="7C2DEF63" w14:textId="77777777" w:rsidR="00216191" w:rsidRDefault="001E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EF66" w14:textId="77777777" w:rsidR="00216191" w:rsidRDefault="001E43C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7C2DEF67" w14:textId="77777777" w:rsidR="00216191" w:rsidRDefault="0021619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EF68" w14:textId="77777777" w:rsidR="00216191" w:rsidRDefault="001E43C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7C2DEF69" w14:textId="77777777" w:rsidR="00216191" w:rsidRDefault="0021619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EF6C" w14:textId="77777777" w:rsidR="00216191" w:rsidRDefault="0021619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7E"/>
    <w:rsid w:val="001E43CA"/>
    <w:rsid w:val="00216191"/>
    <w:rsid w:val="00A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2D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43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4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14A2BC5-CCDC-471F-8971-E8C97B95CFEB}"/>
      </w:docPartPr>
      <w:docPartBody>
        <w:p w14:paraId="4681CCD2" w14:textId="0F9A28B9" w:rsidR="00000000" w:rsidRDefault="00006864">
          <w:r w:rsidRPr="009A706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64"/>
    <w:rsid w:val="000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68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68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3210</Words>
  <Characters>1831</Characters>
  <Application>Microsoft Office Word</Application>
  <DocSecurity>0</DocSecurity>
  <Lines>15</Lines>
  <Paragraphs>10</Paragraphs>
  <ScaleCrop>false</ScaleCrop>
  <Company>Teisines informacijos centras</Company>
  <LinksUpToDate>false</LinksUpToDate>
  <CharactersWithSpaces>5031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2015-09-11T21:06:00Z</dcterms:created>
  <dc:creator>Sandra</dc:creator>
  <lastModifiedBy>PETRAUSKAITĖ Girmantė</lastModifiedBy>
  <dcterms:modified xsi:type="dcterms:W3CDTF">2016-04-15T11:03:00Z</dcterms:modified>
  <revision>3</revision>
  <dc:title>LIETUVOS AUTOMOBILIŲ KELIŲ DIREKCIJOS</dc:title>
</coreProperties>
</file>