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1620" w14:textId="77777777" w:rsidR="002D4815" w:rsidRDefault="006B7C6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610169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</w:t>
      </w:r>
    </w:p>
    <w:p w14:paraId="36101621" w14:textId="77777777" w:rsidR="002D4815" w:rsidRDefault="006B7C6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6101622" w14:textId="77777777" w:rsidR="002D4815" w:rsidRDefault="002D4815">
      <w:pPr>
        <w:widowControl w:val="0"/>
        <w:suppressAutoHyphens/>
        <w:jc w:val="center"/>
        <w:rPr>
          <w:color w:val="000000"/>
        </w:rPr>
      </w:pPr>
    </w:p>
    <w:p w14:paraId="36101623" w14:textId="77777777" w:rsidR="002D4815" w:rsidRDefault="006B7C66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ŠVIETIMO IR MOKSLO MINISTRO 2009 M. RUGSĖJO 22 D. ĮSAKYMO Nr. ISAK-1899 „DĖL VALSTYBĖS PARAMOS IŠEIVIJOS IR LIETUVIŲ KILMĖS UŽSIENIEČIŲ VAIKŲ, VAIKAIČI</w:t>
      </w:r>
      <w:r>
        <w:rPr>
          <w:b/>
          <w:bCs/>
          <w:caps/>
          <w:color w:val="000000"/>
        </w:rPr>
        <w:t>Ų, PROVAIKAIČIŲ STUDIJOMS LIETUVOS AUKŠTOSIOSE MOKYKLOSE SKYRIMO IR ATSISKAITYMO UŽ SKIRTAS LĖŠAS TVARKOS APRAŠO PATVIRTINIMO“ PAKEITIMO</w:t>
      </w:r>
    </w:p>
    <w:p w14:paraId="36101624" w14:textId="77777777" w:rsidR="002D4815" w:rsidRDefault="002D4815">
      <w:pPr>
        <w:widowControl w:val="0"/>
        <w:suppressAutoHyphens/>
        <w:jc w:val="center"/>
        <w:rPr>
          <w:color w:val="000000"/>
        </w:rPr>
      </w:pPr>
    </w:p>
    <w:p w14:paraId="36101625" w14:textId="77777777" w:rsidR="002D4815" w:rsidRDefault="006B7C6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liepos 16 d. Nr. V-1214</w:t>
      </w:r>
    </w:p>
    <w:p w14:paraId="36101626" w14:textId="77777777" w:rsidR="002D4815" w:rsidRDefault="006B7C6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6101627" w14:textId="77777777" w:rsidR="002D4815" w:rsidRDefault="002D4815">
      <w:pPr>
        <w:widowControl w:val="0"/>
        <w:suppressAutoHyphens/>
        <w:jc w:val="center"/>
        <w:rPr>
          <w:color w:val="000000"/>
        </w:rPr>
      </w:pPr>
    </w:p>
    <w:p w14:paraId="36101628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Valstybės paramos išeivijos ir lietuvių kilmės užsieniečių va</w:t>
      </w:r>
      <w:r>
        <w:rPr>
          <w:color w:val="000000"/>
        </w:rPr>
        <w:t xml:space="preserve">ikų, vaikaičių, provaikaičių studijoms Lietuvos aukštosiose mokyklose skyrimo ir atsiskaitymo už skirtas lėšas tvarkos aprašą, patvirtintą Lietuvos Respublikos švietimo ir mokslo ministro 2009 m. rugsėjo 22 d. įsakymu Nr. ISAK-1899 (Žin., 2009, Nr. </w:t>
      </w:r>
      <w:hyperlink r:id="rId10" w:tgtFrame="_blank" w:history="1">
        <w:r>
          <w:rPr>
            <w:color w:val="0000FF" w:themeColor="hyperlink"/>
            <w:u w:val="single"/>
          </w:rPr>
          <w:t>152-6859</w:t>
        </w:r>
      </w:hyperlink>
      <w:r>
        <w:rPr>
          <w:color w:val="000000"/>
        </w:rPr>
        <w:t>):</w:t>
      </w:r>
    </w:p>
    <w:p w14:paraId="36101629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4 punktą taip:</w:t>
      </w:r>
    </w:p>
    <w:p w14:paraId="3610162A" w14:textId="77777777" w:rsidR="002D4815" w:rsidRDefault="006B7C66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„</w:t>
      </w:r>
      <w:r>
        <w:rPr>
          <w:color w:val="000000"/>
          <w:spacing w:val="-2"/>
        </w:rPr>
        <w:t>4</w:t>
      </w:r>
      <w:r>
        <w:rPr>
          <w:color w:val="000000"/>
          <w:spacing w:val="-2"/>
        </w:rPr>
        <w:t>. Parama išeivijos ir lietuvių kilmės užsieniečių vaikams, vaikaičiams, provaikaičiams teikiama iš Fondui šiam tikslui skirtų valstybės bi</w:t>
      </w:r>
      <w:r>
        <w:rPr>
          <w:color w:val="000000"/>
          <w:spacing w:val="-2"/>
        </w:rPr>
        <w:t>udžeto asignavimų. Ne daugiau kaip pusė paramai skirtos sumos atidedama paramai teikti rudens semestre.“</w:t>
      </w:r>
    </w:p>
    <w:p w14:paraId="3610162B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5 punktą taip:</w:t>
      </w:r>
    </w:p>
    <w:p w14:paraId="3610162C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Fondas turi teisę gauti iš Lietuvos Respublikos užsienio reikalų ministerijos, krašto lietuvių bendruomenių, L</w:t>
      </w:r>
      <w:r>
        <w:rPr>
          <w:color w:val="000000"/>
        </w:rPr>
        <w:t>ietuvos Respublikos valstybės institucijų ar įstaigų užsienyje, aukštųjų mokyklų, kitų įmonių, įstaigų, organizacijų informaciją, kurios reikia paramai skirti ir administruoti išeivijos ir lietuvių kilmės užsieniečių vaikų, vaikaičių, provaikaičių studijom</w:t>
      </w:r>
      <w:r>
        <w:rPr>
          <w:color w:val="000000"/>
        </w:rPr>
        <w:t>s Lietuvos aukštosiose mokyklose.“</w:t>
      </w:r>
    </w:p>
    <w:p w14:paraId="3610162D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Išdėstau 6 punktą taip:</w:t>
      </w:r>
    </w:p>
    <w:p w14:paraId="3610162E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Aukštosios mokyklos teikia Fondui informaciją apie tai, ar pretenduojantis gauti paramą asmuo ar paramą gavęs asmuo yra tos aukštosios mokyklos studentas, to asmens paskutinės sesi</w:t>
      </w:r>
      <w:r>
        <w:rPr>
          <w:color w:val="000000"/>
        </w:rPr>
        <w:t>jos pažymių svertinį vidurkį (pirmąjį studijų semestrą – stojamąjį balą) bei akademinių skolų už paskutinę sesiją (jeigu jų turi) skaičių, paramą gavusius asmenis nutraukusius studijas, išbrauktus iš studentų sąrašų, sustabdžiusius studijas ar išleistus ak</w:t>
      </w:r>
      <w:r>
        <w:rPr>
          <w:color w:val="000000"/>
        </w:rPr>
        <w:t>ademinių atostogų ir kitą informaciją, kurios reikia skiriant ir administruojant paramą išeivijos ir lietuvių kilmės užsieniečių vaikų, vaikaičių, provaikaičių studijoms Lietuvos aukštosiose mokyklose. Paramą gavusiam asmeniui nutraukus studijas, išbraukus</w:t>
      </w:r>
      <w:r>
        <w:rPr>
          <w:color w:val="000000"/>
        </w:rPr>
        <w:t xml:space="preserve"> jį iš studentų sąrašų, sustabdžius studijas ar išėjus akademinių atostogų, aukštosios mokyklos apie tai informuoja Fondą per 3 darbo dienas nuo šių aplinkybių atsiradimo.“</w:t>
      </w:r>
    </w:p>
    <w:p w14:paraId="3610162F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Išdėstau 9 punktą taip:</w:t>
      </w:r>
    </w:p>
    <w:p w14:paraId="36101630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>. Aprašo 7.2 punkte nurodyta socialinė išmok</w:t>
      </w:r>
      <w:r>
        <w:rPr>
          <w:color w:val="000000"/>
        </w:rPr>
        <w:t>a yra vienkartinė išmoka, skiriama atsižvelgus į pretenduojančio gauti paramą asmens socialinę padėtį. Teisę gauti socialinę išmoką turi asmenys, atitinkantys bent vieną iš Aprašo 22.2 punkte nurodytų kriterijų. Šiame punkte nurodytos išmokos dydis nustato</w:t>
      </w:r>
      <w:r>
        <w:rPr>
          <w:color w:val="000000"/>
        </w:rPr>
        <w:t>mas pagal Aprašo priedo 2 punkte nurodytus kriterijus.“</w:t>
      </w:r>
    </w:p>
    <w:p w14:paraId="36101631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Išdėstau 11.2 punktą taip:</w:t>
      </w:r>
    </w:p>
    <w:p w14:paraId="36101632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11.2</w:t>
      </w:r>
      <w:r>
        <w:rPr>
          <w:color w:val="000000"/>
        </w:rPr>
        <w:t>. paskutinę sesiją išlaikę be akademinių skolų (šis punktas netaikomas pirmosios ir antrosios studijų pakopos pirmojo semestro studentams).“</w:t>
      </w:r>
    </w:p>
    <w:p w14:paraId="36101633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</w:t>
      </w:r>
      <w:r>
        <w:rPr>
          <w:color w:val="000000"/>
        </w:rPr>
        <w:t>Išdėstau 13 punktą taip:</w:t>
      </w:r>
    </w:p>
    <w:p w14:paraId="36101634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</w:t>
      </w:r>
      <w:r>
        <w:rPr>
          <w:color w:val="000000"/>
        </w:rPr>
        <w:t>. Parama išeivijos ir lietuvių kilmės užsieniečių vaikams, vaikaičiams, provaikaičiams skiriama konkurso būdu. Paramos skyrimo konkursą du kartus per metus pavasario ir rudens semestre organizuoja Fondas pagal Fondo direktoria</w:t>
      </w:r>
      <w:r>
        <w:rPr>
          <w:color w:val="000000"/>
        </w:rPr>
        <w:t xml:space="preserve">us patvirtintus Paramos išeivijos ir lietuvių kilmės užsieniečių vaikams, vaikaičiams, provaikaičiams skyrimo nuostatus. Apie konkurso pradžią kiekvienais metais ne vėliau kaip sausio 10 d. </w:t>
      </w:r>
      <w:r>
        <w:rPr>
          <w:color w:val="000000"/>
        </w:rPr>
        <w:lastRenderedPageBreak/>
        <w:t>pavasario semestre ir ne vėliau kaip rugpjūčio 10 d. rudens semest</w:t>
      </w:r>
      <w:r>
        <w:rPr>
          <w:color w:val="000000"/>
        </w:rPr>
        <w:t>re Fondas informuoja savo interneto puslapyje www.vsf.lt ir Švietimo ir mokslo ministerijos interneto puslapyje www.smm.lt, taip pat šią informaciją išplatina Lietuvos aukštosioms mokykloms, Užsienio reikalų ministerijai ir Vilniaus vidurinei mokyklai „Lie</w:t>
      </w:r>
      <w:r>
        <w:rPr>
          <w:color w:val="000000"/>
        </w:rPr>
        <w:t>tuvių namai“.“</w:t>
      </w:r>
    </w:p>
    <w:p w14:paraId="36101635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Išdėstau 14 punktą taip:</w:t>
      </w:r>
    </w:p>
    <w:p w14:paraId="36101636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14</w:t>
      </w:r>
      <w:r>
        <w:rPr>
          <w:color w:val="000000"/>
        </w:rPr>
        <w:t>. Išeivijos ir lietuvių kilmės užsieniečių vaikai, vaikaičiai, provaikaičiai, norintys gauti paramą, turi pateikti Fondui šiuos dokumentus, išskyrus atvejus, kai Fondas nurodo, kad atitinkamų dokument</w:t>
      </w:r>
      <w:r>
        <w:rPr>
          <w:color w:val="000000"/>
        </w:rPr>
        <w:t>ų pateikti nereikia:</w:t>
      </w:r>
    </w:p>
    <w:p w14:paraId="36101637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>. asmens tapatybę patvirtinantį dokumentą arba teisės aktų nustatyta tvarka patvirtintą jo kopiją;</w:t>
      </w:r>
    </w:p>
    <w:p w14:paraId="36101638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14.2</w:t>
      </w:r>
      <w:r>
        <w:rPr>
          <w:color w:val="000000"/>
        </w:rPr>
        <w:t>. prašymą pagal Fondo direktoriaus patvirtintą formą, kurios sudedamoji dalis yra Paramos suteikimo sąlygos;</w:t>
      </w:r>
    </w:p>
    <w:p w14:paraId="36101639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14.3</w:t>
      </w:r>
      <w:r>
        <w:rPr>
          <w:color w:val="000000"/>
        </w:rPr>
        <w:t xml:space="preserve">. </w:t>
      </w:r>
      <w:r>
        <w:rPr>
          <w:color w:val="000000"/>
        </w:rPr>
        <w:t>pažymą iš aukštosios mokyklos, patvirtinančią studento statusą su nurodytomis semestro pradžios ir pabaigos datomis, įskaitant atostogų laikotarpį;</w:t>
      </w:r>
    </w:p>
    <w:p w14:paraId="3610163A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14.4</w:t>
      </w:r>
      <w:r>
        <w:rPr>
          <w:color w:val="000000"/>
        </w:rPr>
        <w:t>. pažymą apie paskutinės sesijos pažymių svertinį vidurkį (išskyrus pirmosios ir antrosios studijų p</w:t>
      </w:r>
      <w:r>
        <w:rPr>
          <w:color w:val="000000"/>
        </w:rPr>
        <w:t>akopos pirmojo semestro studentus);</w:t>
      </w:r>
    </w:p>
    <w:p w14:paraId="3610163B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14.5</w:t>
      </w:r>
      <w:r>
        <w:rPr>
          <w:color w:val="000000"/>
        </w:rPr>
        <w:t>. pažymą apie tai, kad neturi akademinių skolų arba akademinių skolų už paskutinę sesiją, skaičių (išskyrus pirmosios ir antrosios studijų pakopos pirmojo semestro studentus).“</w:t>
      </w:r>
    </w:p>
    <w:p w14:paraId="3610163C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Išdėstau 16 punktą tai</w:t>
      </w:r>
      <w:r>
        <w:rPr>
          <w:color w:val="000000"/>
        </w:rPr>
        <w:t>p:</w:t>
      </w:r>
    </w:p>
    <w:p w14:paraId="3610163D" w14:textId="77777777" w:rsidR="002D4815" w:rsidRDefault="006B7C66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„</w:t>
      </w:r>
      <w:r>
        <w:rPr>
          <w:color w:val="000000"/>
          <w:spacing w:val="-2"/>
        </w:rPr>
        <w:t>16</w:t>
      </w:r>
      <w:r>
        <w:rPr>
          <w:color w:val="000000"/>
          <w:spacing w:val="-2"/>
        </w:rPr>
        <w:t>. Lietuvių kilmės užsieniečių vaikai, vaikaičiai, provaikaičiai, kurie kreipiasi dėl paramos pirmą kartą, be Aprašo 14 ir 15 punktuose nurodytų dokumentų, privalo pateikti krašto lietuvių bendruomenės, Lietuvos Respublikos valstybės institucijos ar</w:t>
      </w:r>
      <w:r>
        <w:rPr>
          <w:color w:val="000000"/>
          <w:spacing w:val="-2"/>
        </w:rPr>
        <w:t xml:space="preserve"> įstaigos užsienyje, kurios užsieniečiams išduoda vizas, ar kitos institucijos išduotą lietuvių kilmę patvirtinantį dokumentą.“</w:t>
      </w:r>
    </w:p>
    <w:p w14:paraId="3610163E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Išdėstau 17 punktą taip:</w:t>
      </w:r>
    </w:p>
    <w:p w14:paraId="3610163F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17</w:t>
      </w:r>
      <w:r>
        <w:rPr>
          <w:color w:val="000000"/>
        </w:rPr>
        <w:t>. Išeivijos vaikai, vaikaičiai, provaikaičiai, kurie kreipiasi dėl paramos pirmą kartą,</w:t>
      </w:r>
      <w:r>
        <w:rPr>
          <w:color w:val="000000"/>
        </w:rPr>
        <w:t xml:space="preserve"> be Aprašo 14 ir 15 punktuose nurodytų dokumentų, privalo pateikti dokumentą, patvirtinantį, kad ne mažiau negu 3 metus jie gyveno užsienyje ir atvyko į Lietuvą ne anksčiau kaip į aštuntą klasę.“</w:t>
      </w:r>
    </w:p>
    <w:p w14:paraId="36101640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Pripažįstu 18.1 punktą netekusiu galios.</w:t>
      </w:r>
    </w:p>
    <w:p w14:paraId="36101641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</w:t>
      </w:r>
      <w:r>
        <w:rPr>
          <w:color w:val="000000"/>
        </w:rPr>
        <w:t xml:space="preserve"> Pripažįstu 20 punktą netekusiu galios.</w:t>
      </w:r>
    </w:p>
    <w:p w14:paraId="36101642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Išdėstau 21 punktą taip:</w:t>
      </w:r>
    </w:p>
    <w:p w14:paraId="36101643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21</w:t>
      </w:r>
      <w:r>
        <w:rPr>
          <w:color w:val="000000"/>
        </w:rPr>
        <w:t xml:space="preserve">. Sprendimą skirti paramą išeivijos ir lietuvių kilmės užsieniečių vaikams, vaikaičiams, provaikaičiams priima Fondo direktoriaus sudaryta komisija (toliau – Komisija), į kurios </w:t>
      </w:r>
      <w:r>
        <w:rPr>
          <w:color w:val="000000"/>
        </w:rPr>
        <w:t>sudėtį įeina Fondo, Švietimo ir mokslo ministerijos, Užsienio reikalų ministerijos ir kitų institucijų atstovai, ne vėliau kaip per 10 dienų nuo dokumentų priėmimo termino pabaigos.“</w:t>
      </w:r>
    </w:p>
    <w:p w14:paraId="36101644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Išdėstau 22.2 punktą taip:</w:t>
      </w:r>
    </w:p>
    <w:p w14:paraId="36101645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22.2</w:t>
      </w:r>
      <w:r>
        <w:rPr>
          <w:color w:val="000000"/>
        </w:rPr>
        <w:t xml:space="preserve">. tais atvejais, kai </w:t>
      </w:r>
      <w:r>
        <w:rPr>
          <w:color w:val="000000"/>
        </w:rPr>
        <w:t>Paramai skirta suma yra mažesnė nei lėšų poreikis socialinėms išmokoms, pirmenybės teisę gauti paramą turi studentai (prioriteto mažėjimo tvarka):</w:t>
      </w:r>
    </w:p>
    <w:p w14:paraId="36101646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22.2.1</w:t>
      </w:r>
      <w:r>
        <w:rPr>
          <w:color w:val="000000"/>
        </w:rPr>
        <w:t>. iki 26 metų, kurių bent vienas iš tėvų ar globėjų (rūpintojų) yra miręs;</w:t>
      </w:r>
    </w:p>
    <w:p w14:paraId="36101647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22.2.2</w:t>
      </w:r>
      <w:r>
        <w:rPr>
          <w:color w:val="000000"/>
        </w:rPr>
        <w:t>. iki 26 metų, k</w:t>
      </w:r>
      <w:r>
        <w:rPr>
          <w:color w:val="000000"/>
        </w:rPr>
        <w:t>urių bent vienas iš tėvų ar globėjų (rūpintojų) yra neįgalus;</w:t>
      </w:r>
    </w:p>
    <w:p w14:paraId="36101648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22.2.3</w:t>
      </w:r>
      <w:r>
        <w:rPr>
          <w:color w:val="000000"/>
        </w:rPr>
        <w:t>. kurie yra iš daugiavaikių šeimų (4 ir daugiau nepilnamečių ar studijuojančių vaikų iki 26 metų);</w:t>
      </w:r>
    </w:p>
    <w:p w14:paraId="36101649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22.2.4</w:t>
      </w:r>
      <w:r>
        <w:rPr>
          <w:color w:val="000000"/>
        </w:rPr>
        <w:t>. kurie yra iš daugiavaikių šeimų (3 nepilnamečiai ar studijuojantys vaikai</w:t>
      </w:r>
      <w:r>
        <w:rPr>
          <w:color w:val="000000"/>
        </w:rPr>
        <w:t xml:space="preserve"> iki 26 metų);</w:t>
      </w:r>
    </w:p>
    <w:p w14:paraId="3610164A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22.2.5</w:t>
      </w:r>
      <w:r>
        <w:rPr>
          <w:color w:val="000000"/>
        </w:rPr>
        <w:t>. auginantys vaiką (vaikus) ir nedirbantys (taip pat tuo atveju, jeigu šiame punkte nurodytas studentas turi sutuoktinį, kuris irgi nedirba);</w:t>
      </w:r>
    </w:p>
    <w:p w14:paraId="3610164B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22.2.6</w:t>
      </w:r>
      <w:r>
        <w:rPr>
          <w:color w:val="000000"/>
        </w:rPr>
        <w:t>. iki 26 metų, kurių abu tėvai ar globėjai (rūpintojai) yra bedarbiai.“</w:t>
      </w:r>
    </w:p>
    <w:p w14:paraId="3610164C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Išdėstau priedą nauja redakcija (pridedama).</w:t>
      </w:r>
    </w:p>
    <w:p w14:paraId="3610164D" w14:textId="77777777" w:rsidR="002D4815" w:rsidRDefault="002D4815">
      <w:pPr>
        <w:widowControl w:val="0"/>
        <w:suppressAutoHyphens/>
        <w:jc w:val="center"/>
        <w:rPr>
          <w:color w:val="000000"/>
          <w:szCs w:val="24"/>
        </w:rPr>
      </w:pPr>
    </w:p>
    <w:p w14:paraId="3610164E" w14:textId="77777777" w:rsidR="002D4815" w:rsidRDefault="006B7C6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6101651" w14:textId="1BAA1716" w:rsidR="002D4815" w:rsidRDefault="006B7C66" w:rsidP="006B7C66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Švietimo ir mokslo ministras</w:t>
      </w:r>
      <w:r>
        <w:rPr>
          <w:caps/>
          <w:color w:val="000000"/>
        </w:rPr>
        <w:tab/>
        <w:t>Gintaras Steponavičius</w:t>
      </w:r>
    </w:p>
    <w:p w14:paraId="1B2C5114" w14:textId="77777777" w:rsidR="006B7C66" w:rsidRDefault="006B7C66">
      <w:pPr>
        <w:keepLines/>
        <w:widowControl w:val="0"/>
        <w:suppressAutoHyphens/>
        <w:ind w:left="4535"/>
        <w:sectPr w:rsidR="006B7C66" w:rsidSect="006B7C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1701" w:header="567" w:footer="284" w:gutter="0"/>
          <w:pgNumType w:start="1"/>
          <w:cols w:space="1296"/>
          <w:titlePg/>
          <w:docGrid w:linePitch="360"/>
        </w:sectPr>
      </w:pPr>
    </w:p>
    <w:p w14:paraId="36101652" w14:textId="0E2F37F2" w:rsidR="002D4815" w:rsidRDefault="006B7C66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lastRenderedPageBreak/>
        <w:t xml:space="preserve">Valstybės paramos išeivijos ir lietuvių </w:t>
      </w:r>
    </w:p>
    <w:p w14:paraId="36101653" w14:textId="77777777" w:rsidR="002D4815" w:rsidRDefault="006B7C66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kilmės užsieniečių vaikų, vaikaičių, </w:t>
      </w:r>
    </w:p>
    <w:p w14:paraId="36101654" w14:textId="77777777" w:rsidR="002D4815" w:rsidRDefault="006B7C66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provaikaičių studijoms Lietuvos </w:t>
      </w:r>
    </w:p>
    <w:p w14:paraId="36101655" w14:textId="77777777" w:rsidR="002D4815" w:rsidRDefault="006B7C66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aukštosiose mokyklose skyrimo ir </w:t>
      </w:r>
    </w:p>
    <w:p w14:paraId="36101656" w14:textId="77777777" w:rsidR="002D4815" w:rsidRDefault="006B7C66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atsiskaitymo už skirtas lėšas tvarkos aprašo</w:t>
      </w:r>
    </w:p>
    <w:p w14:paraId="36101657" w14:textId="77777777" w:rsidR="002D4815" w:rsidRDefault="006B7C66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priedas </w:t>
      </w:r>
    </w:p>
    <w:p w14:paraId="36101658" w14:textId="77777777" w:rsidR="002D4815" w:rsidRDefault="006B7C66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(Lietuvos Respublikos </w:t>
      </w:r>
    </w:p>
    <w:p w14:paraId="36101659" w14:textId="77777777" w:rsidR="002D4815" w:rsidRDefault="006B7C66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švietimo ir mokslo ministro </w:t>
      </w:r>
    </w:p>
    <w:p w14:paraId="3610165A" w14:textId="77777777" w:rsidR="002D4815" w:rsidRDefault="006B7C66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2010 m. liepos 16 d. įsakymo Nr. V-1214 redakcija)</w:t>
      </w:r>
    </w:p>
    <w:p w14:paraId="3610165B" w14:textId="77777777" w:rsidR="002D4815" w:rsidRDefault="002D4815">
      <w:pPr>
        <w:widowControl w:val="0"/>
        <w:suppressAutoHyphens/>
        <w:ind w:firstLine="567"/>
        <w:jc w:val="both"/>
        <w:rPr>
          <w:color w:val="000000"/>
        </w:rPr>
      </w:pPr>
    </w:p>
    <w:p w14:paraId="3610165C" w14:textId="77777777" w:rsidR="002D4815" w:rsidRDefault="006B7C66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STIPENDIJŲ UŽ STUDIJŲ REZULTATUS IR SOCIALINIŲ IŠMOKŲ SKYRIMO KR</w:t>
      </w:r>
      <w:r>
        <w:rPr>
          <w:b/>
          <w:bCs/>
          <w:caps/>
          <w:color w:val="000000"/>
        </w:rPr>
        <w:t>ITERIJAI</w:t>
      </w:r>
    </w:p>
    <w:p w14:paraId="3610165D" w14:textId="77777777" w:rsidR="002D4815" w:rsidRDefault="002D4815">
      <w:pPr>
        <w:widowControl w:val="0"/>
        <w:suppressAutoHyphens/>
        <w:ind w:firstLine="567"/>
        <w:jc w:val="both"/>
        <w:rPr>
          <w:color w:val="000000"/>
        </w:rPr>
      </w:pPr>
    </w:p>
    <w:p w14:paraId="3610165E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Stipendijos už studijų rezultatus dydis priklauso nuo studijų rezultatų. Atsižvelgus į sesijos pažymių svertinį vidurkį, stipendijos studentams skiriamos taip:</w:t>
      </w:r>
    </w:p>
    <w:p w14:paraId="3610165F" w14:textId="77777777" w:rsidR="002D4815" w:rsidRDefault="002D4815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5"/>
        <w:gridCol w:w="2999"/>
        <w:gridCol w:w="2416"/>
      </w:tblGrid>
      <w:tr w:rsidR="002D4815" w14:paraId="36101663" w14:textId="77777777">
        <w:trPr>
          <w:trHeight w:val="235"/>
          <w:tblHeader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0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Studijų sritis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1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Sesijos rezultatų vidurkis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2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Stipendijos dydis, Lt</w:t>
            </w:r>
          </w:p>
        </w:tc>
      </w:tr>
      <w:tr w:rsidR="002D4815" w14:paraId="36101667" w14:textId="77777777">
        <w:trPr>
          <w:trHeight w:val="12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4" w14:textId="77777777" w:rsidR="002D4815" w:rsidRDefault="006B7C66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Humanitariniai mokslai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5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9–10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6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2D4815" w14:paraId="3610166B" w14:textId="77777777">
        <w:trPr>
          <w:trHeight w:val="169"/>
        </w:trPr>
        <w:tc>
          <w:tcPr>
            <w:tcW w:w="3655" w:type="dxa"/>
            <w:tcBorders>
              <w:left w:val="single" w:sz="4" w:space="0" w:color="000000"/>
              <w:right w:val="single" w:sz="4" w:space="0" w:color="000000"/>
            </w:tcBorders>
          </w:tcPr>
          <w:p w14:paraId="36101668" w14:textId="77777777" w:rsidR="002D4815" w:rsidRDefault="006B7C66">
            <w:pPr>
              <w:widowControl w:val="0"/>
              <w:suppressAutoHyphens/>
            </w:pPr>
            <w:r>
              <w:rPr>
                <w:color w:val="000000"/>
              </w:rPr>
              <w:t>Meno studijos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9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8–8,9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A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2D4815" w14:paraId="3610166F" w14:textId="77777777">
        <w:trPr>
          <w:trHeight w:val="124"/>
        </w:trPr>
        <w:tc>
          <w:tcPr>
            <w:tcW w:w="3655" w:type="dxa"/>
            <w:tcBorders>
              <w:left w:val="single" w:sz="4" w:space="0" w:color="000000"/>
              <w:right w:val="single" w:sz="4" w:space="0" w:color="000000"/>
            </w:tcBorders>
          </w:tcPr>
          <w:p w14:paraId="3610166C" w14:textId="77777777" w:rsidR="002D4815" w:rsidRDefault="006B7C66">
            <w:pPr>
              <w:widowControl w:val="0"/>
            </w:pPr>
            <w:r>
              <w:rPr>
                <w:color w:val="000000"/>
              </w:rPr>
              <w:t>Socialiniai mokslai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D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7–7,9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6E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D4815" w14:paraId="36101673" w14:textId="77777777">
        <w:trPr>
          <w:trHeight w:val="124"/>
        </w:trPr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670" w14:textId="77777777" w:rsidR="002D4815" w:rsidRDefault="002D4815">
            <w:pPr>
              <w:widowControl w:val="0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71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5–6,9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72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D4815" w14:paraId="36101677" w14:textId="77777777">
        <w:trPr>
          <w:trHeight w:val="12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74" w14:textId="77777777" w:rsidR="002D4815" w:rsidRDefault="006B7C66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Biomedicinos mokslai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75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9–10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76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2D4815" w14:paraId="3610167B" w14:textId="77777777">
        <w:trPr>
          <w:trHeight w:val="124"/>
        </w:trPr>
        <w:tc>
          <w:tcPr>
            <w:tcW w:w="3655" w:type="dxa"/>
            <w:tcBorders>
              <w:left w:val="single" w:sz="4" w:space="0" w:color="000000"/>
              <w:right w:val="single" w:sz="4" w:space="0" w:color="000000"/>
            </w:tcBorders>
          </w:tcPr>
          <w:p w14:paraId="36101678" w14:textId="77777777" w:rsidR="002D4815" w:rsidRDefault="006B7C66">
            <w:pPr>
              <w:widowControl w:val="0"/>
              <w:suppressAutoHyphens/>
            </w:pPr>
            <w:r>
              <w:rPr>
                <w:color w:val="000000"/>
              </w:rPr>
              <w:t>Fiziniai mokslai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79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7–8,9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7A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2D4815" w14:paraId="3610167F" w14:textId="77777777">
        <w:trPr>
          <w:trHeight w:val="124"/>
        </w:trPr>
        <w:tc>
          <w:tcPr>
            <w:tcW w:w="3655" w:type="dxa"/>
            <w:tcBorders>
              <w:left w:val="single" w:sz="4" w:space="0" w:color="000000"/>
              <w:right w:val="single" w:sz="4" w:space="0" w:color="000000"/>
            </w:tcBorders>
          </w:tcPr>
          <w:p w14:paraId="3610167C" w14:textId="77777777" w:rsidR="002D4815" w:rsidRDefault="006B7C66">
            <w:pPr>
              <w:widowControl w:val="0"/>
              <w:suppressAutoHyphens/>
            </w:pPr>
            <w:r>
              <w:rPr>
                <w:color w:val="000000"/>
              </w:rPr>
              <w:t>Technologijų mokslai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7D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6–6,9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7E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D4815" w14:paraId="36101683" w14:textId="77777777">
        <w:trPr>
          <w:trHeight w:val="124"/>
        </w:trPr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680" w14:textId="77777777" w:rsidR="002D4815" w:rsidRDefault="002D4815">
            <w:pPr>
              <w:widowControl w:val="0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81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5–5,9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82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</w:tbl>
    <w:p w14:paraId="36101684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</w:p>
    <w:p w14:paraId="36101685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Nustatomi tokie socialinių išmokų dydžiai:</w:t>
      </w:r>
    </w:p>
    <w:p w14:paraId="36101686" w14:textId="77777777" w:rsidR="002D4815" w:rsidRDefault="002D4815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6"/>
        <w:gridCol w:w="2334"/>
      </w:tblGrid>
      <w:tr w:rsidR="002D4815" w14:paraId="36101689" w14:textId="77777777">
        <w:trPr>
          <w:trHeight w:val="62"/>
          <w:tblHeader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87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Studentų socialinė padėtis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88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Išmokos dydis, Lt</w:t>
            </w:r>
          </w:p>
        </w:tc>
      </w:tr>
      <w:tr w:rsidR="002D4815" w14:paraId="3610168C" w14:textId="77777777">
        <w:trPr>
          <w:trHeight w:val="62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8A" w14:textId="77777777" w:rsidR="002D4815" w:rsidRDefault="006B7C66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Studentai iki 26 metų, kurių bent vienas iš tėvų ar globėjų (rūpintojų) yra miręs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8B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</w:tr>
      <w:tr w:rsidR="002D4815" w14:paraId="3610168F" w14:textId="77777777">
        <w:trPr>
          <w:trHeight w:val="62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8D" w14:textId="77777777" w:rsidR="002D4815" w:rsidRDefault="006B7C66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Studentai iki 26 metų, kurių bent vienas iš tėvų ar globėjų (rūpintojų) yra neįgalus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8E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2D4815" w14:paraId="36101692" w14:textId="77777777">
        <w:trPr>
          <w:trHeight w:val="62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90" w14:textId="77777777" w:rsidR="002D4815" w:rsidRDefault="006B7C66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Studentai iš daugiavaikių šeimų (4 ir daugiau nepilnamečių ar studijuojančių vaikų iki 26 metų)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91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2D4815" w14:paraId="36101695" w14:textId="77777777">
        <w:trPr>
          <w:trHeight w:val="62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93" w14:textId="77777777" w:rsidR="002D4815" w:rsidRDefault="006B7C66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Studentai iš daugiavaikių šeimų (3 nepilnamečiai ar studijuojantys vaikai iki 26 metų)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94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2D4815" w14:paraId="36101698" w14:textId="77777777">
        <w:trPr>
          <w:trHeight w:val="62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96" w14:textId="77777777" w:rsidR="002D4815" w:rsidRDefault="006B7C66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Kitais Aprašo nustatytais atvejais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01697" w14:textId="77777777" w:rsidR="002D4815" w:rsidRDefault="006B7C6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</w:tbl>
    <w:p w14:paraId="36101699" w14:textId="77777777" w:rsidR="002D4815" w:rsidRDefault="006B7C66">
      <w:pPr>
        <w:widowControl w:val="0"/>
        <w:suppressAutoHyphens/>
        <w:ind w:firstLine="567"/>
        <w:jc w:val="both"/>
        <w:rPr>
          <w:color w:val="000000"/>
        </w:rPr>
      </w:pPr>
    </w:p>
    <w:p w14:paraId="3610169A" w14:textId="77777777" w:rsidR="002D4815" w:rsidRDefault="006B7C66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p w14:paraId="3610169B" w14:textId="77777777" w:rsidR="002D4815" w:rsidRDefault="006B7C66"/>
    <w:sectPr w:rsidR="002D4815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169F" w14:textId="77777777" w:rsidR="002D4815" w:rsidRDefault="006B7C66">
      <w:r>
        <w:separator/>
      </w:r>
    </w:p>
  </w:endnote>
  <w:endnote w:type="continuationSeparator" w:id="0">
    <w:p w14:paraId="361016A0" w14:textId="77777777" w:rsidR="002D4815" w:rsidRDefault="006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16A3" w14:textId="77777777" w:rsidR="002D4815" w:rsidRDefault="002D4815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16A4" w14:textId="77777777" w:rsidR="002D4815" w:rsidRDefault="002D4815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16A6" w14:textId="77777777" w:rsidR="002D4815" w:rsidRDefault="002D481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0169D" w14:textId="77777777" w:rsidR="002D4815" w:rsidRDefault="006B7C66">
      <w:r>
        <w:separator/>
      </w:r>
    </w:p>
  </w:footnote>
  <w:footnote w:type="continuationSeparator" w:id="0">
    <w:p w14:paraId="3610169E" w14:textId="77777777" w:rsidR="002D4815" w:rsidRDefault="006B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16A1" w14:textId="77777777" w:rsidR="002D4815" w:rsidRDefault="002D481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1271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14:paraId="5081DE55" w14:textId="7B9A6DB9" w:rsidR="006B7C66" w:rsidRDefault="006B7C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61016A2" w14:textId="77777777" w:rsidR="002D4815" w:rsidRDefault="002D481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16A5" w14:textId="77777777" w:rsidR="002D4815" w:rsidRDefault="002D481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6"/>
    <w:rsid w:val="002D4815"/>
    <w:rsid w:val="006908C6"/>
    <w:rsid w:val="006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01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7C6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B7C6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B7C66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7C6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B7C6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B7C66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0506F57CAF7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9E"/>
    <w:rsid w:val="008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08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08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5315</Words>
  <Characters>3031</Characters>
  <Application>Microsoft Office Word</Application>
  <DocSecurity>0</DocSecurity>
  <Lines>25</Lines>
  <Paragraphs>16</Paragraphs>
  <ScaleCrop>false</ScaleCrop>
  <Company/>
  <LinksUpToDate>false</LinksUpToDate>
  <CharactersWithSpaces>8330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2015-08-07T00:57:00Z</dcterms:created>
  <dc:creator>Rima</dc:creator>
  <lastModifiedBy>TAMALIŪNIENĖ Vilija</lastModifiedBy>
  <dcterms:modified xsi:type="dcterms:W3CDTF">2018-01-17T09:41:00Z</dcterms:modified>
  <revision>3</revision>
  <dc:title>LIETUVOS RESPUBLIKOS ŠVIETIMO IR MOKSLO MINISTRO</dc:title>
</coreProperties>
</file>