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ECC83" w14:textId="77777777" w:rsidR="0018765B" w:rsidRDefault="00F67D3E">
      <w:pPr>
        <w:keepLines/>
        <w:widowControl w:val="0"/>
        <w:suppressAutoHyphens/>
        <w:jc w:val="center"/>
        <w:rPr>
          <w:color w:val="000000"/>
          <w:szCs w:val="24"/>
          <w:lang w:eastAsia="lt-LT"/>
        </w:rPr>
      </w:pPr>
      <w:r>
        <w:rPr>
          <w:color w:val="000000"/>
          <w:szCs w:val="24"/>
          <w:lang w:eastAsia="lt-LT"/>
        </w:rPr>
        <w:t>LIETUVOS AUTOMOBILIŲ KELIŲ DIREKCIJOS PRIE SUSISIEKIMO MINISTERIJOS DIREKTORIAUS</w:t>
      </w:r>
    </w:p>
    <w:p w14:paraId="2B9ECC84" w14:textId="77777777" w:rsidR="0018765B" w:rsidRDefault="00F67D3E">
      <w:pPr>
        <w:keepLines/>
        <w:widowControl w:val="0"/>
        <w:suppressAutoHyphens/>
        <w:jc w:val="center"/>
        <w:rPr>
          <w:color w:val="000000"/>
          <w:szCs w:val="24"/>
          <w:lang w:eastAsia="lt-LT"/>
        </w:rPr>
      </w:pPr>
      <w:r>
        <w:rPr>
          <w:color w:val="000000"/>
          <w:szCs w:val="24"/>
          <w:lang w:eastAsia="lt-LT"/>
        </w:rPr>
        <w:t>Į S A K Y M A S</w:t>
      </w:r>
    </w:p>
    <w:p w14:paraId="2B9ECC85" w14:textId="77777777" w:rsidR="0018765B" w:rsidRDefault="0018765B">
      <w:pPr>
        <w:keepLines/>
        <w:widowControl w:val="0"/>
        <w:suppressAutoHyphens/>
        <w:jc w:val="center"/>
        <w:rPr>
          <w:color w:val="000000"/>
          <w:szCs w:val="24"/>
          <w:lang w:eastAsia="lt-LT"/>
        </w:rPr>
      </w:pPr>
    </w:p>
    <w:p w14:paraId="2B9ECC86" w14:textId="77777777" w:rsidR="0018765B" w:rsidRDefault="00F67D3E">
      <w:pPr>
        <w:keepLines/>
        <w:widowControl w:val="0"/>
        <w:suppressAutoHyphens/>
        <w:jc w:val="center"/>
        <w:rPr>
          <w:b/>
          <w:bCs/>
          <w:caps/>
          <w:color w:val="000000"/>
          <w:szCs w:val="24"/>
          <w:lang w:eastAsia="lt-LT"/>
        </w:rPr>
      </w:pPr>
      <w:r>
        <w:rPr>
          <w:b/>
          <w:bCs/>
          <w:caps/>
          <w:color w:val="000000"/>
          <w:szCs w:val="24"/>
          <w:lang w:eastAsia="lt-LT"/>
        </w:rPr>
        <w:t xml:space="preserve">DĖL LIETUVOS AUTOMOBILIŲ KELIŲ DIREKCIJOS PRIE SUSISIEKIMO MINISTERIJOS DIREKTORIAUS 2012 M. BALANDŽIO 16 D. ĮSAKYMO Nr. V-87 „DĖL AUTOMOBILIŲ KELIŲ DARBO </w:t>
      </w:r>
      <w:r>
        <w:rPr>
          <w:b/>
          <w:bCs/>
          <w:caps/>
          <w:color w:val="000000"/>
          <w:szCs w:val="24"/>
          <w:lang w:eastAsia="lt-LT"/>
        </w:rPr>
        <w:t>VIETŲ APTVĖRIMO IR EISMO REGULIAVIMO TAISYKLIŲ T DVAER 12 PATVIRTINIMO“ PAKEITIMO</w:t>
      </w:r>
    </w:p>
    <w:p w14:paraId="2B9ECC87" w14:textId="77777777" w:rsidR="0018765B" w:rsidRDefault="0018765B">
      <w:pPr>
        <w:widowControl w:val="0"/>
        <w:suppressAutoHyphens/>
        <w:jc w:val="center"/>
        <w:rPr>
          <w:b/>
          <w:bCs/>
          <w:color w:val="000000"/>
          <w:szCs w:val="24"/>
          <w:lang w:eastAsia="lt-LT"/>
        </w:rPr>
      </w:pPr>
    </w:p>
    <w:p w14:paraId="2B9ECC88" w14:textId="77777777" w:rsidR="0018765B" w:rsidRDefault="00F67D3E">
      <w:pPr>
        <w:keepLines/>
        <w:widowControl w:val="0"/>
        <w:suppressAutoHyphens/>
        <w:jc w:val="center"/>
        <w:rPr>
          <w:color w:val="000000"/>
          <w:szCs w:val="24"/>
          <w:lang w:eastAsia="lt-LT"/>
        </w:rPr>
      </w:pPr>
      <w:r>
        <w:rPr>
          <w:color w:val="000000"/>
          <w:szCs w:val="24"/>
          <w:lang w:eastAsia="lt-LT"/>
        </w:rPr>
        <w:t>2013 m. gegužės 8 d. Nr. V-213</w:t>
      </w:r>
    </w:p>
    <w:p w14:paraId="2B9ECC89" w14:textId="77777777" w:rsidR="0018765B" w:rsidRDefault="00F67D3E">
      <w:pPr>
        <w:keepLines/>
        <w:widowControl w:val="0"/>
        <w:suppressAutoHyphens/>
        <w:jc w:val="center"/>
        <w:rPr>
          <w:color w:val="000000"/>
          <w:szCs w:val="24"/>
          <w:lang w:eastAsia="lt-LT"/>
        </w:rPr>
      </w:pPr>
      <w:r>
        <w:rPr>
          <w:color w:val="000000"/>
          <w:szCs w:val="24"/>
          <w:lang w:eastAsia="lt-LT"/>
        </w:rPr>
        <w:t>Vilnius</w:t>
      </w:r>
    </w:p>
    <w:p w14:paraId="2B9ECC8A" w14:textId="77777777" w:rsidR="0018765B" w:rsidRDefault="0018765B">
      <w:pPr>
        <w:widowControl w:val="0"/>
        <w:suppressAutoHyphens/>
        <w:ind w:firstLine="567"/>
        <w:jc w:val="both"/>
        <w:rPr>
          <w:color w:val="000000"/>
          <w:szCs w:val="24"/>
          <w:lang w:eastAsia="lt-LT"/>
        </w:rPr>
      </w:pPr>
    </w:p>
    <w:p w14:paraId="5EB405C7" w14:textId="77777777" w:rsidR="00F67D3E" w:rsidRDefault="00F67D3E">
      <w:pPr>
        <w:widowControl w:val="0"/>
        <w:suppressAutoHyphens/>
        <w:ind w:firstLine="567"/>
        <w:jc w:val="both"/>
        <w:rPr>
          <w:color w:val="000000"/>
          <w:szCs w:val="24"/>
          <w:lang w:eastAsia="lt-LT"/>
        </w:rPr>
      </w:pPr>
    </w:p>
    <w:p w14:paraId="2B9ECC8B" w14:textId="77777777" w:rsidR="0018765B" w:rsidRDefault="00F67D3E">
      <w:pPr>
        <w:widowControl w:val="0"/>
        <w:suppressAutoHyphens/>
        <w:ind w:firstLine="567"/>
        <w:jc w:val="both"/>
        <w:rPr>
          <w:color w:val="000000"/>
          <w:spacing w:val="-4"/>
          <w:szCs w:val="24"/>
          <w:lang w:eastAsia="lt-LT"/>
        </w:rPr>
      </w:pPr>
      <w:r>
        <w:rPr>
          <w:color w:val="000000"/>
          <w:szCs w:val="24"/>
          <w:lang w:eastAsia="lt-LT"/>
        </w:rPr>
        <w:t>P a k e i č i u A</w:t>
      </w:r>
      <w:r>
        <w:rPr>
          <w:color w:val="000000"/>
          <w:spacing w:val="-4"/>
          <w:szCs w:val="24"/>
          <w:lang w:eastAsia="lt-LT"/>
        </w:rPr>
        <w:t xml:space="preserve">utomobilių kelių darbo vietų aptvėrimo ir eismo reguliavimo taisykles T DVAER 12, patvirtintas Lietuvos automobilių </w:t>
      </w:r>
      <w:r>
        <w:rPr>
          <w:color w:val="000000"/>
          <w:spacing w:val="-4"/>
          <w:szCs w:val="24"/>
          <w:lang w:eastAsia="lt-LT"/>
        </w:rPr>
        <w:t>kelių direkcijos prie Susisiekimo ministerijos direktoriaus 2012 m. balandžio 16 d. įsakymu Nr. V-87 „Dėl Automobilių kelių darbo vietų aptvėrimo ir eismo reguliavimo taisyklių T DVAER 12 patvirtinimo“ (Žin., 2012, Nr. </w:t>
      </w:r>
      <w:hyperlink r:id="rId6" w:tgtFrame="_blank" w:history="1">
        <w:r>
          <w:rPr>
            <w:color w:val="0000FF" w:themeColor="hyperlink"/>
            <w:spacing w:val="-4"/>
            <w:szCs w:val="24"/>
            <w:u w:val="single"/>
            <w:lang w:eastAsia="lt-LT"/>
          </w:rPr>
          <w:t>46-2277</w:t>
        </w:r>
      </w:hyperlink>
      <w:r>
        <w:rPr>
          <w:color w:val="000000"/>
          <w:spacing w:val="-4"/>
          <w:szCs w:val="24"/>
          <w:lang w:eastAsia="lt-LT"/>
        </w:rPr>
        <w:t>):</w:t>
      </w:r>
    </w:p>
    <w:p w14:paraId="2B9ECC8C" w14:textId="77777777" w:rsidR="0018765B" w:rsidRDefault="00F67D3E">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Išdėstau 21 punktą taip:</w:t>
      </w:r>
    </w:p>
    <w:p w14:paraId="2B9ECC8D" w14:textId="77777777" w:rsidR="0018765B" w:rsidRDefault="00F67D3E">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21</w:t>
      </w:r>
      <w:r>
        <w:rPr>
          <w:color w:val="000000"/>
          <w:szCs w:val="24"/>
          <w:lang w:eastAsia="lt-LT"/>
        </w:rPr>
        <w:t>. Kelių direkcija prieš darbų pradžią turi gauti iš kelių valdytojų informaciją apie darbų apimtis ir poveikį eismui, taip pat apie nurodytas naudoti technines eismo r</w:t>
      </w:r>
      <w:r>
        <w:rPr>
          <w:color w:val="000000"/>
          <w:szCs w:val="24"/>
          <w:lang w:eastAsia="lt-LT"/>
        </w:rPr>
        <w:t>eguliavimo priemones.“</w:t>
      </w:r>
    </w:p>
    <w:p w14:paraId="2B9ECC8E" w14:textId="77777777" w:rsidR="0018765B" w:rsidRDefault="00F67D3E">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Išdėstau 1 iliustracijos įrašą „Kelių direkcijos informavimas prieš 2 savaites“ taip: „Kelių direkcijos informavimas“.</w:t>
      </w:r>
    </w:p>
    <w:p w14:paraId="2B9ECC8F" w14:textId="77777777" w:rsidR="0018765B" w:rsidRDefault="00F67D3E">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Išdėstau 31 punktą taip:</w:t>
      </w:r>
    </w:p>
    <w:p w14:paraId="2B9ECC90" w14:textId="77777777" w:rsidR="0018765B" w:rsidRDefault="00F67D3E">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31</w:t>
      </w:r>
      <w:r>
        <w:rPr>
          <w:color w:val="000000"/>
          <w:szCs w:val="24"/>
          <w:lang w:eastAsia="lt-LT"/>
        </w:rPr>
        <w:t>. Leidimus riboti eismą reikia gauti prieš darbų pradžią, o jų kop</w:t>
      </w:r>
      <w:r>
        <w:rPr>
          <w:color w:val="000000"/>
          <w:szCs w:val="24"/>
          <w:lang w:eastAsia="lt-LT"/>
        </w:rPr>
        <w:t>ijas reikia laikyti darbo vietose, kad bet kuriuo metu kontroliuojantys asmenys galėtų patikrinti, ar darbo vietose naudojamos techninės eismo reguliavimo priemonės atitinka nurodytas leidimo riboti eismą dokumentuose.</w:t>
      </w:r>
    </w:p>
    <w:p w14:paraId="2B9ECC91" w14:textId="77777777" w:rsidR="0018765B" w:rsidRDefault="00F67D3E">
      <w:pPr>
        <w:widowControl w:val="0"/>
        <w:suppressAutoHyphens/>
        <w:ind w:firstLine="567"/>
        <w:jc w:val="both"/>
        <w:rPr>
          <w:color w:val="000000"/>
          <w:szCs w:val="24"/>
          <w:lang w:eastAsia="lt-LT"/>
        </w:rPr>
      </w:pPr>
      <w:r>
        <w:rPr>
          <w:color w:val="000000"/>
          <w:szCs w:val="24"/>
          <w:lang w:eastAsia="lt-LT"/>
        </w:rPr>
        <w:t>Darbo vietose reikia laikytis leidimo</w:t>
      </w:r>
      <w:r>
        <w:rPr>
          <w:color w:val="000000"/>
          <w:szCs w:val="24"/>
          <w:lang w:eastAsia="lt-LT"/>
        </w:rPr>
        <w:t xml:space="preserve"> riboti eismą dokumentuose nurodytų techninių eismo reguliavimo priemonių ir, jei reikia, pareikalauti kompetentingų asmenų atlikti patikrą.“</w:t>
      </w:r>
    </w:p>
    <w:p w14:paraId="2B9ECC92" w14:textId="77777777" w:rsidR="0018765B" w:rsidRDefault="00F67D3E">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Išdėstau 39.4 punktą taip:</w:t>
      </w:r>
    </w:p>
    <w:p w14:paraId="2B9ECC93" w14:textId="77777777" w:rsidR="0018765B" w:rsidRDefault="00F67D3E">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39.4</w:t>
      </w:r>
      <w:r>
        <w:rPr>
          <w:color w:val="000000"/>
          <w:szCs w:val="24"/>
          <w:lang w:eastAsia="lt-LT"/>
        </w:rPr>
        <w:t>. statybos ar renginio darbų pobūdžio trumpas aprašymas.</w:t>
      </w:r>
    </w:p>
    <w:p w14:paraId="2B9ECC94" w14:textId="77777777" w:rsidR="0018765B" w:rsidRDefault="00F67D3E">
      <w:pPr>
        <w:widowControl w:val="0"/>
        <w:suppressAutoHyphens/>
        <w:ind w:firstLine="567"/>
        <w:jc w:val="both"/>
        <w:rPr>
          <w:color w:val="000000"/>
          <w:szCs w:val="24"/>
          <w:lang w:eastAsia="lt-LT"/>
        </w:rPr>
      </w:pPr>
      <w:r>
        <w:rPr>
          <w:color w:val="000000"/>
          <w:szCs w:val="24"/>
          <w:lang w:eastAsia="lt-LT"/>
        </w:rPr>
        <w:t>Jeigu reikia</w:t>
      </w:r>
      <w:r>
        <w:rPr>
          <w:color w:val="000000"/>
          <w:szCs w:val="24"/>
          <w:lang w:eastAsia="lt-LT"/>
        </w:rPr>
        <w:t xml:space="preserve"> įrengti apylanką, pateikiama apylankos schema, nurodoma, kada ir kas suderino su policija, kelio savininku, Valstybine kelių transporto inspekcija prie Susisiekimo ministerijos ir valstybinės reikšmės kelius prižiūrinčia valstybės įmone (arba Kelių direkc</w:t>
      </w:r>
      <w:r>
        <w:rPr>
          <w:color w:val="000000"/>
          <w:szCs w:val="24"/>
          <w:lang w:eastAsia="lt-LT"/>
        </w:rPr>
        <w:t>ija);“.</w:t>
      </w:r>
    </w:p>
    <w:p w14:paraId="2B9ECC95" w14:textId="77777777" w:rsidR="0018765B" w:rsidRDefault="00F67D3E">
      <w:pPr>
        <w:widowControl w:val="0"/>
        <w:suppressAutoHyphens/>
        <w:ind w:firstLine="567"/>
        <w:jc w:val="both"/>
        <w:rPr>
          <w:color w:val="000000"/>
          <w:szCs w:val="24"/>
          <w:lang w:eastAsia="lt-LT"/>
        </w:rPr>
      </w:pPr>
      <w:r>
        <w:rPr>
          <w:color w:val="000000"/>
          <w:szCs w:val="24"/>
          <w:lang w:eastAsia="lt-LT"/>
        </w:rPr>
        <w:t>5</w:t>
      </w:r>
      <w:r>
        <w:rPr>
          <w:color w:val="000000"/>
          <w:szCs w:val="24"/>
          <w:lang w:eastAsia="lt-LT"/>
        </w:rPr>
        <w:t>. Išdėstau 53 punktą taip:</w:t>
      </w:r>
    </w:p>
    <w:p w14:paraId="2B9ECC96" w14:textId="77777777" w:rsidR="0018765B" w:rsidRDefault="00F67D3E">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53</w:t>
      </w:r>
      <w:r>
        <w:rPr>
          <w:color w:val="000000"/>
          <w:szCs w:val="24"/>
          <w:lang w:eastAsia="lt-LT"/>
        </w:rPr>
        <w:t>. Statybos rangovas atsako už saugaus eismo valdymą. Statybos rangovui galioja žalos atlyginimo prievolė pagal kodeksą [6.1].“</w:t>
      </w:r>
    </w:p>
    <w:p w14:paraId="2B9ECC97" w14:textId="77777777" w:rsidR="0018765B" w:rsidRDefault="00F67D3E">
      <w:pPr>
        <w:widowControl w:val="0"/>
        <w:suppressAutoHyphens/>
        <w:ind w:firstLine="567"/>
        <w:jc w:val="both"/>
        <w:rPr>
          <w:color w:val="000000"/>
          <w:szCs w:val="24"/>
          <w:lang w:eastAsia="lt-LT"/>
        </w:rPr>
      </w:pPr>
      <w:r>
        <w:rPr>
          <w:color w:val="000000"/>
          <w:szCs w:val="24"/>
          <w:lang w:eastAsia="lt-LT"/>
        </w:rPr>
        <w:t>6</w:t>
      </w:r>
      <w:r>
        <w:rPr>
          <w:color w:val="000000"/>
          <w:szCs w:val="24"/>
          <w:lang w:eastAsia="lt-LT"/>
        </w:rPr>
        <w:t>. Išdėstau 54 punktą taip:</w:t>
      </w:r>
    </w:p>
    <w:p w14:paraId="2B9ECC98" w14:textId="77777777" w:rsidR="0018765B" w:rsidRDefault="00F67D3E">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54</w:t>
      </w:r>
      <w:r>
        <w:rPr>
          <w:color w:val="000000"/>
          <w:szCs w:val="24"/>
          <w:lang w:eastAsia="lt-LT"/>
        </w:rPr>
        <w:t>. Kelių valdytojai turi teisę tikrinti,</w:t>
      </w:r>
      <w:r>
        <w:rPr>
          <w:color w:val="000000"/>
          <w:szCs w:val="24"/>
          <w:lang w:eastAsia="lt-LT"/>
        </w:rPr>
        <w:t xml:space="preserve"> kad statybos rangovai laikytųsi leidime riboti eismą nurodytų techninių eismo reguliavimo priemonių išdėstymo ir ar šios priemonės naudojamos tikslingai. Statybos rangovai privalo laikytis kelių valdytojų (atskiru atveju – Kelių direkcijos) nurodymų.“</w:t>
      </w:r>
    </w:p>
    <w:p w14:paraId="2B9ECC99" w14:textId="77777777" w:rsidR="0018765B" w:rsidRDefault="00F67D3E">
      <w:pPr>
        <w:widowControl w:val="0"/>
        <w:suppressAutoHyphens/>
        <w:ind w:firstLine="567"/>
        <w:jc w:val="both"/>
        <w:rPr>
          <w:color w:val="000000"/>
          <w:szCs w:val="24"/>
          <w:lang w:eastAsia="lt-LT"/>
        </w:rPr>
      </w:pPr>
      <w:r>
        <w:rPr>
          <w:color w:val="000000"/>
          <w:szCs w:val="24"/>
          <w:lang w:eastAsia="lt-LT"/>
        </w:rPr>
        <w:t>7</w:t>
      </w:r>
      <w:r>
        <w:rPr>
          <w:color w:val="000000"/>
          <w:szCs w:val="24"/>
          <w:lang w:eastAsia="lt-LT"/>
        </w:rPr>
        <w:t>. Išdėstau 55 punktą taip:</w:t>
      </w:r>
    </w:p>
    <w:p w14:paraId="2B9ECC9A" w14:textId="77777777" w:rsidR="0018765B" w:rsidRDefault="00F67D3E">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55</w:t>
      </w:r>
      <w:r>
        <w:rPr>
          <w:color w:val="000000"/>
          <w:szCs w:val="24"/>
          <w:lang w:eastAsia="lt-LT"/>
        </w:rPr>
        <w:t>. Kai tik darbo vietos įrengiamos ir pradedamos naudoti, techninis prižiūrėtojas turi jas patikrinti. Jeigu reikia, darbo vietos gali būti tikrinamos ir naktį.“</w:t>
      </w:r>
    </w:p>
    <w:p w14:paraId="2B9ECC9B" w14:textId="77777777" w:rsidR="0018765B" w:rsidRDefault="00F67D3E">
      <w:pPr>
        <w:widowControl w:val="0"/>
        <w:suppressAutoHyphens/>
        <w:ind w:firstLine="567"/>
        <w:jc w:val="both"/>
        <w:rPr>
          <w:color w:val="000000"/>
          <w:szCs w:val="24"/>
          <w:lang w:eastAsia="lt-LT"/>
        </w:rPr>
      </w:pPr>
      <w:r>
        <w:rPr>
          <w:color w:val="000000"/>
          <w:szCs w:val="24"/>
          <w:lang w:eastAsia="lt-LT"/>
        </w:rPr>
        <w:t>8</w:t>
      </w:r>
      <w:r>
        <w:rPr>
          <w:color w:val="000000"/>
          <w:szCs w:val="24"/>
          <w:lang w:eastAsia="lt-LT"/>
        </w:rPr>
        <w:t>. Išdėstau 56 punktą taip:</w:t>
      </w:r>
    </w:p>
    <w:p w14:paraId="2B9ECC9C" w14:textId="77777777" w:rsidR="0018765B" w:rsidRDefault="00F67D3E">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56</w:t>
      </w:r>
      <w:r>
        <w:rPr>
          <w:color w:val="000000"/>
          <w:szCs w:val="24"/>
          <w:lang w:eastAsia="lt-LT"/>
        </w:rPr>
        <w:t>. Toliau atlieka</w:t>
      </w:r>
      <w:r>
        <w:rPr>
          <w:color w:val="000000"/>
          <w:szCs w:val="24"/>
          <w:lang w:eastAsia="lt-LT"/>
        </w:rPr>
        <w:t>nt darbus techninis prižiūrėtojas ir, jeigu derinimo sąlygose nurodyta, kitų institucijų atstovai turi kontroliuoti darbo vietas. Taip pat jas reikia kontroliuoti pasibaigus darbo laikui, naktį, šeštadieniais ir švenčių dienomis.“</w:t>
      </w:r>
    </w:p>
    <w:p w14:paraId="2B9ECC9D" w14:textId="77777777" w:rsidR="0018765B" w:rsidRDefault="00F67D3E">
      <w:pPr>
        <w:widowControl w:val="0"/>
        <w:suppressAutoHyphens/>
        <w:ind w:firstLine="567"/>
        <w:jc w:val="both"/>
        <w:rPr>
          <w:color w:val="000000"/>
          <w:szCs w:val="24"/>
          <w:lang w:eastAsia="lt-LT"/>
        </w:rPr>
      </w:pPr>
      <w:r>
        <w:rPr>
          <w:color w:val="000000"/>
          <w:szCs w:val="24"/>
          <w:lang w:eastAsia="lt-LT"/>
        </w:rPr>
        <w:t>9</w:t>
      </w:r>
      <w:r>
        <w:rPr>
          <w:color w:val="000000"/>
          <w:szCs w:val="24"/>
          <w:lang w:eastAsia="lt-LT"/>
        </w:rPr>
        <w:t xml:space="preserve">. Išdėstau </w:t>
      </w:r>
      <w:r>
        <w:rPr>
          <w:color w:val="000000"/>
          <w:szCs w:val="24"/>
          <w:lang w:eastAsia="lt-LT"/>
        </w:rPr>
        <w:t>102 punktą taip:</w:t>
      </w:r>
    </w:p>
    <w:p w14:paraId="2B9ECC9E" w14:textId="77777777" w:rsidR="0018765B" w:rsidRDefault="00F67D3E">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102</w:t>
      </w:r>
      <w:r>
        <w:rPr>
          <w:color w:val="000000"/>
          <w:szCs w:val="24"/>
          <w:lang w:eastAsia="lt-LT"/>
        </w:rPr>
        <w:t>. 407-asis „Apvažiuoti iš dešinės“, 408-asis „Apvažiuoti iš kairės“, 409-asis „Apvažiuoti iš dešinės arba kairės“ vertikalusis kelio ženklas nurodo automobilių vairuotojams pasukimo prieš kliūtį, atsirasiančią važiavimo kryptyje, pus</w:t>
      </w:r>
      <w:r>
        <w:rPr>
          <w:color w:val="000000"/>
          <w:szCs w:val="24"/>
          <w:lang w:eastAsia="lt-LT"/>
        </w:rPr>
        <w:t>ę, kuria reikia kliūtį apvažiuoti. Šių VŽ esmė yra ta, kad apvažiuoti reikia tuoj pat už ženklo, todėl toje pusėje, kurioje galioja VŽ, neleistinas priešpriešinis eismas.</w:t>
      </w:r>
    </w:p>
    <w:p w14:paraId="2B9ECC9F" w14:textId="77777777" w:rsidR="0018765B" w:rsidRDefault="00F67D3E">
      <w:pPr>
        <w:widowControl w:val="0"/>
        <w:suppressAutoHyphens/>
        <w:ind w:firstLine="567"/>
        <w:jc w:val="both"/>
        <w:rPr>
          <w:color w:val="000000"/>
          <w:szCs w:val="24"/>
          <w:lang w:eastAsia="lt-LT"/>
        </w:rPr>
      </w:pPr>
      <w:r>
        <w:rPr>
          <w:color w:val="000000"/>
          <w:szCs w:val="24"/>
          <w:lang w:eastAsia="lt-LT"/>
        </w:rPr>
        <w:t>Tuo atveju, kai važiuojamosios dalies viduryje yra saugumo salelė arba skiriamoji juo</w:t>
      </w:r>
      <w:r>
        <w:rPr>
          <w:color w:val="000000"/>
          <w:szCs w:val="24"/>
          <w:lang w:eastAsia="lt-LT"/>
        </w:rPr>
        <w:t>sta, 407-ąjį, 408-ąjį, 409-ąjį VŽ reikia įrengti ant jų. Taip pat darbo vietų zonose rekomenduojama tuos nurodymus akcentuoti naudojant horizontalųjį ženklinimą (geltona linija 1.4 pagal KET [6.4]), atriboti eismo juostas arba užbrūkšniuoti nukreipimo sale</w:t>
      </w:r>
      <w:r>
        <w:rPr>
          <w:color w:val="000000"/>
          <w:szCs w:val="24"/>
          <w:lang w:eastAsia="lt-LT"/>
        </w:rPr>
        <w:t>les (1.15 pagal KET [6.4]).</w:t>
      </w:r>
    </w:p>
    <w:p w14:paraId="2B9ECCA0" w14:textId="77777777" w:rsidR="0018765B" w:rsidRDefault="00F67D3E">
      <w:pPr>
        <w:widowControl w:val="0"/>
        <w:suppressAutoHyphens/>
        <w:ind w:firstLine="567"/>
        <w:jc w:val="both"/>
        <w:rPr>
          <w:color w:val="000000"/>
          <w:szCs w:val="24"/>
          <w:lang w:eastAsia="lt-LT"/>
        </w:rPr>
      </w:pPr>
      <w:r>
        <w:rPr>
          <w:color w:val="000000"/>
          <w:szCs w:val="24"/>
          <w:lang w:eastAsia="lt-LT"/>
        </w:rPr>
        <w:t>Kai reikia papildomai užtikrinti dirbančiųjų saugumą, galima naudoti aktyvųjį šviečiantį arba blyksintį 407-ąjį VŽ.“</w:t>
      </w:r>
    </w:p>
    <w:p w14:paraId="2B9ECCA1" w14:textId="77777777" w:rsidR="0018765B" w:rsidRDefault="00F67D3E">
      <w:pPr>
        <w:widowControl w:val="0"/>
        <w:suppressAutoHyphens/>
        <w:ind w:firstLine="567"/>
        <w:jc w:val="both"/>
        <w:rPr>
          <w:color w:val="000000"/>
          <w:szCs w:val="24"/>
          <w:lang w:eastAsia="lt-LT"/>
        </w:rPr>
      </w:pPr>
      <w:r>
        <w:rPr>
          <w:color w:val="000000"/>
          <w:szCs w:val="24"/>
          <w:lang w:eastAsia="lt-LT"/>
        </w:rPr>
        <w:t>10</w:t>
      </w:r>
      <w:r>
        <w:rPr>
          <w:color w:val="000000"/>
          <w:szCs w:val="24"/>
          <w:lang w:eastAsia="lt-LT"/>
        </w:rPr>
        <w:t>. Išdėstau 132 punktą taip:</w:t>
      </w:r>
    </w:p>
    <w:p w14:paraId="2B9ECCA2" w14:textId="77777777" w:rsidR="0018765B" w:rsidRDefault="00F67D3E">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132</w:t>
      </w:r>
      <w:r>
        <w:rPr>
          <w:color w:val="000000"/>
          <w:szCs w:val="24"/>
          <w:lang w:eastAsia="lt-LT"/>
        </w:rPr>
        <w:t>. Nukreipiamieji kūgiai daugiausia naudojami tik trumpalaikėse darb</w:t>
      </w:r>
      <w:r>
        <w:rPr>
          <w:color w:val="000000"/>
          <w:szCs w:val="24"/>
          <w:lang w:eastAsia="lt-LT"/>
        </w:rPr>
        <w:t>o vietose. Šviesiu paros metu naudojami NK su baltos ir fluorescencinės raudonos spalvos horizontaliomis juostomis. Kai darbai atliekami tamsiu paros metu, turi būti naudojami NK su šviesą atspindinčiomis raudonos ir baltos spalvos horizontaliomis juostomi</w:t>
      </w:r>
      <w:r>
        <w:rPr>
          <w:color w:val="000000"/>
          <w:szCs w:val="24"/>
          <w:lang w:eastAsia="lt-LT"/>
        </w:rPr>
        <w:t>s.“</w:t>
      </w:r>
    </w:p>
    <w:p w14:paraId="2B9ECCA3" w14:textId="77777777" w:rsidR="0018765B" w:rsidRDefault="00F67D3E">
      <w:pPr>
        <w:widowControl w:val="0"/>
        <w:suppressAutoHyphens/>
        <w:ind w:firstLine="567"/>
        <w:jc w:val="both"/>
        <w:rPr>
          <w:color w:val="000000"/>
          <w:szCs w:val="24"/>
          <w:lang w:eastAsia="lt-LT"/>
        </w:rPr>
      </w:pPr>
      <w:r>
        <w:rPr>
          <w:color w:val="000000"/>
          <w:szCs w:val="24"/>
          <w:lang w:eastAsia="lt-LT"/>
        </w:rPr>
        <w:t>11</w:t>
      </w:r>
      <w:r>
        <w:rPr>
          <w:color w:val="000000"/>
          <w:szCs w:val="24"/>
          <w:lang w:eastAsia="lt-LT"/>
        </w:rPr>
        <w:t>. Išdėstau 132.1 punktą taip:</w:t>
      </w:r>
    </w:p>
    <w:p w14:paraId="2B9ECCA4" w14:textId="77777777" w:rsidR="0018765B" w:rsidRDefault="00F67D3E">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132.1</w:t>
      </w:r>
      <w:r>
        <w:rPr>
          <w:color w:val="000000"/>
          <w:szCs w:val="24"/>
          <w:lang w:eastAsia="lt-LT"/>
        </w:rPr>
        <w:t xml:space="preserve">. NK gali būti pagaminti iš gumos, plastiko ir kitų panašių medžiagų. Jie turi pasižymėti šiomis savybėmis: lengvai pasislinkti nuo automobilių smūgių, neapvirsti nuo pravažiuojančio transporto sukeliamų </w:t>
      </w:r>
      <w:r>
        <w:rPr>
          <w:color w:val="000000"/>
          <w:szCs w:val="24"/>
          <w:lang w:eastAsia="lt-LT"/>
        </w:rPr>
        <w:t>oro srautų ir tenkinti LST EN 13422 [6.30] reikalavimus (CIE spalvų koordinačių, skaisčio faktoriaus, stabilumo.“</w:t>
      </w:r>
    </w:p>
    <w:p w14:paraId="2B9ECCA5" w14:textId="77777777" w:rsidR="0018765B" w:rsidRDefault="00F67D3E">
      <w:pPr>
        <w:widowControl w:val="0"/>
        <w:suppressAutoHyphens/>
        <w:ind w:firstLine="567"/>
        <w:jc w:val="both"/>
        <w:rPr>
          <w:color w:val="000000"/>
          <w:szCs w:val="24"/>
          <w:lang w:eastAsia="lt-LT"/>
        </w:rPr>
      </w:pPr>
      <w:r>
        <w:rPr>
          <w:color w:val="000000"/>
          <w:szCs w:val="24"/>
          <w:lang w:eastAsia="lt-LT"/>
        </w:rPr>
        <w:t>12</w:t>
      </w:r>
      <w:r>
        <w:rPr>
          <w:color w:val="000000"/>
          <w:szCs w:val="24"/>
          <w:lang w:eastAsia="lt-LT"/>
        </w:rPr>
        <w:t>. Išdėstau 7 iliustracijos aprašymo įrašą „c – ženklinimo darbams visuose keliuose, išskyrus automagistrales ir greitkelius“ taip: „</w:t>
      </w:r>
      <w:r>
        <w:rPr>
          <w:color w:val="000000"/>
          <w:szCs w:val="24"/>
          <w:lang w:eastAsia="lt-LT"/>
        </w:rPr>
        <w:t>c – ženklinimo darbams“.</w:t>
      </w:r>
    </w:p>
    <w:p w14:paraId="2B9ECCA6" w14:textId="77777777" w:rsidR="0018765B" w:rsidRDefault="00F67D3E">
      <w:pPr>
        <w:widowControl w:val="0"/>
        <w:suppressAutoHyphens/>
        <w:ind w:firstLine="567"/>
        <w:jc w:val="both"/>
        <w:rPr>
          <w:color w:val="000000"/>
          <w:szCs w:val="24"/>
          <w:lang w:eastAsia="lt-LT"/>
        </w:rPr>
      </w:pPr>
      <w:r>
        <w:rPr>
          <w:color w:val="000000"/>
          <w:szCs w:val="24"/>
          <w:lang w:eastAsia="lt-LT"/>
        </w:rPr>
        <w:t>13</w:t>
      </w:r>
      <w:r>
        <w:rPr>
          <w:color w:val="000000"/>
          <w:szCs w:val="24"/>
          <w:lang w:eastAsia="lt-LT"/>
        </w:rPr>
        <w:t>. Išdėstau 134 punktą taip:</w:t>
      </w:r>
    </w:p>
    <w:p w14:paraId="2B9ECCA7" w14:textId="77777777" w:rsidR="0018765B" w:rsidRDefault="00F67D3E">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134</w:t>
      </w:r>
      <w:r>
        <w:rPr>
          <w:color w:val="000000"/>
          <w:szCs w:val="24"/>
          <w:lang w:eastAsia="lt-LT"/>
        </w:rPr>
        <w:t xml:space="preserve">. Kilnojamuosius atitvėrimo skydus reikia naudoti tik trumpalaikėse darbo vietose. Juose pateikiamas būtinas ženklų kiekis, dydis ir jų išdėstymas. Kilnojamuosiuose atitvėrimo skyduose kartu </w:t>
      </w:r>
      <w:r>
        <w:rPr>
          <w:color w:val="000000"/>
          <w:szCs w:val="24"/>
          <w:lang w:eastAsia="lt-LT"/>
        </w:rPr>
        <w:t>su mažosiomis blyksinčiomis rodyklėmis ar kai jos neįrengtos, naudojami atitinkantys LST EN 12352 [6.23] žybčiojantys SŽ (žr. 5 lentelę).</w:t>
      </w:r>
    </w:p>
    <w:p w14:paraId="2B9ECCA8" w14:textId="77777777" w:rsidR="0018765B" w:rsidRDefault="00F67D3E">
      <w:pPr>
        <w:widowControl w:val="0"/>
        <w:suppressAutoHyphens/>
        <w:ind w:firstLine="567"/>
        <w:jc w:val="both"/>
        <w:rPr>
          <w:color w:val="000000"/>
          <w:szCs w:val="24"/>
          <w:lang w:eastAsia="lt-LT"/>
        </w:rPr>
      </w:pPr>
      <w:r>
        <w:rPr>
          <w:color w:val="000000"/>
          <w:szCs w:val="24"/>
          <w:lang w:eastAsia="lt-LT"/>
        </w:rPr>
        <w:t>Kilnojamuosius atitvėrimo skydus galima montuoti ant priekabų arba tiesiog ant transporto priemonių arba pastatyti ant</w:t>
      </w:r>
      <w:r>
        <w:rPr>
          <w:color w:val="000000"/>
          <w:szCs w:val="24"/>
          <w:lang w:eastAsia="lt-LT"/>
        </w:rPr>
        <w:t xml:space="preserve"> dangos. Jų formos nurodytos 8 iliustracijoje.</w:t>
      </w:r>
    </w:p>
    <w:p w14:paraId="2B9ECCA9" w14:textId="77777777" w:rsidR="0018765B" w:rsidRDefault="00F67D3E">
      <w:pPr>
        <w:widowControl w:val="0"/>
        <w:suppressAutoHyphens/>
        <w:ind w:firstLine="567"/>
        <w:jc w:val="both"/>
        <w:rPr>
          <w:color w:val="000000"/>
          <w:szCs w:val="24"/>
          <w:lang w:eastAsia="lt-LT"/>
        </w:rPr>
      </w:pPr>
      <w:r>
        <w:rPr>
          <w:color w:val="000000"/>
          <w:szCs w:val="24"/>
          <w:lang w:eastAsia="lt-LT"/>
        </w:rPr>
        <w:t xml:space="preserve">Kai prie darbo vietose naudojamos transporto priemonės gabarito matmenų reikia pritaikyti kilnojamąjį atitvėrimo skydą, tai jo pločio ir aukščio matmenys gali būti parenkami individualiai. Tokiu atveju </w:t>
      </w:r>
      <w:r>
        <w:rPr>
          <w:color w:val="000000"/>
          <w:szCs w:val="24"/>
          <w:lang w:eastAsia="lt-LT"/>
        </w:rPr>
        <w:t>kilnojamojo atitvėrimo skydo plotis turi būti parenkamas ne mažesnis nei 1700 mm ir ne didesnis kaip 2200 m, o aukštis parenkamas ne mažesnis nei 2500 mm ir ne didesnis kaip 3600 mm.</w:t>
      </w:r>
    </w:p>
    <w:p w14:paraId="2B9ECCAA" w14:textId="77777777" w:rsidR="0018765B" w:rsidRDefault="00F67D3E">
      <w:pPr>
        <w:widowControl w:val="0"/>
        <w:suppressAutoHyphens/>
        <w:ind w:firstLine="567"/>
        <w:jc w:val="both"/>
        <w:rPr>
          <w:color w:val="000000"/>
          <w:szCs w:val="24"/>
          <w:lang w:eastAsia="lt-LT"/>
        </w:rPr>
      </w:pPr>
      <w:r>
        <w:rPr>
          <w:color w:val="000000"/>
          <w:szCs w:val="24"/>
          <w:lang w:eastAsia="lt-LT"/>
        </w:rPr>
        <w:t>Kilnojamųjų atitvėrimo skydų šoninių juostų pločius rekomenduojama parink</w:t>
      </w:r>
      <w:r>
        <w:rPr>
          <w:color w:val="000000"/>
          <w:szCs w:val="24"/>
          <w:lang w:eastAsia="lt-LT"/>
        </w:rPr>
        <w:t>ti proporcingus skydų pločio ir aukščio matmenims, tačiau šoninės juostos turi būti ne siauresnės nei 300 mm ir ne platesnės kaip 500 mm.“</w:t>
      </w:r>
    </w:p>
    <w:p w14:paraId="2B9ECCAB" w14:textId="77777777" w:rsidR="0018765B" w:rsidRDefault="00F67D3E">
      <w:pPr>
        <w:widowControl w:val="0"/>
        <w:suppressAutoHyphens/>
        <w:ind w:firstLine="567"/>
        <w:jc w:val="both"/>
        <w:rPr>
          <w:color w:val="000000"/>
          <w:szCs w:val="24"/>
          <w:lang w:eastAsia="lt-LT"/>
        </w:rPr>
      </w:pPr>
      <w:r>
        <w:rPr>
          <w:color w:val="000000"/>
          <w:szCs w:val="24"/>
          <w:lang w:eastAsia="lt-LT"/>
        </w:rPr>
        <w:t>14</w:t>
      </w:r>
      <w:r>
        <w:rPr>
          <w:color w:val="000000"/>
          <w:szCs w:val="24"/>
          <w:lang w:eastAsia="lt-LT"/>
        </w:rPr>
        <w:t>. Išdėstau 5 lentelę nauja redakcija:</w:t>
      </w:r>
    </w:p>
    <w:p w14:paraId="2B9ECCAC" w14:textId="77777777" w:rsidR="0018765B" w:rsidRDefault="0018765B">
      <w:pPr>
        <w:widowControl w:val="0"/>
        <w:suppressAutoHyphens/>
        <w:ind w:firstLine="567"/>
        <w:jc w:val="both"/>
        <w:rPr>
          <w:b/>
          <w:bCs/>
          <w:color w:val="000000"/>
          <w:szCs w:val="24"/>
          <w:lang w:eastAsia="lt-LT"/>
        </w:rPr>
      </w:pPr>
    </w:p>
    <w:p w14:paraId="2B9ECCAD" w14:textId="77777777" w:rsidR="0018765B" w:rsidRDefault="00F67D3E">
      <w:pPr>
        <w:widowControl w:val="0"/>
        <w:suppressAutoHyphens/>
        <w:ind w:firstLine="567"/>
        <w:jc w:val="both"/>
        <w:rPr>
          <w:b/>
          <w:bCs/>
          <w:color w:val="000000"/>
          <w:szCs w:val="24"/>
          <w:lang w:eastAsia="lt-LT"/>
        </w:rPr>
      </w:pPr>
      <w:r>
        <w:rPr>
          <w:b/>
          <w:bCs/>
          <w:color w:val="000000"/>
          <w:szCs w:val="24"/>
          <w:lang w:eastAsia="lt-LT"/>
        </w:rPr>
        <w:br w:type="page"/>
      </w:r>
      <w:r>
        <w:rPr>
          <w:b/>
          <w:bCs/>
          <w:color w:val="000000"/>
          <w:szCs w:val="24"/>
          <w:lang w:eastAsia="lt-LT"/>
        </w:rPr>
        <w:t>5 lentelė. Signalinių žibintų tipai</w:t>
      </w:r>
    </w:p>
    <w:tbl>
      <w:tblPr>
        <w:tblW w:w="9072" w:type="dxa"/>
        <w:tblLayout w:type="fixed"/>
        <w:tblCellMar>
          <w:left w:w="0" w:type="dxa"/>
          <w:right w:w="0" w:type="dxa"/>
        </w:tblCellMar>
        <w:tblLook w:val="0000" w:firstRow="0" w:lastRow="0" w:firstColumn="0" w:lastColumn="0" w:noHBand="0" w:noVBand="0"/>
      </w:tblPr>
      <w:tblGrid>
        <w:gridCol w:w="1289"/>
        <w:gridCol w:w="1188"/>
        <w:gridCol w:w="554"/>
        <w:gridCol w:w="935"/>
        <w:gridCol w:w="352"/>
        <w:gridCol w:w="1172"/>
        <w:gridCol w:w="3582"/>
      </w:tblGrid>
      <w:tr w:rsidR="0018765B" w14:paraId="2B9ECCB3" w14:textId="77777777">
        <w:trPr>
          <w:trHeight w:val="20"/>
        </w:trPr>
        <w:tc>
          <w:tcPr>
            <w:tcW w:w="1391"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14:paraId="2B9ECCAE" w14:textId="77777777" w:rsidR="0018765B" w:rsidRDefault="00F67D3E">
            <w:pPr>
              <w:widowControl w:val="0"/>
              <w:suppressAutoHyphens/>
              <w:jc w:val="center"/>
              <w:rPr>
                <w:color w:val="000000"/>
                <w:sz w:val="22"/>
                <w:szCs w:val="22"/>
                <w:lang w:eastAsia="lt-LT"/>
              </w:rPr>
            </w:pPr>
            <w:r>
              <w:rPr>
                <w:b/>
                <w:bCs/>
                <w:color w:val="000000"/>
                <w:sz w:val="22"/>
                <w:szCs w:val="22"/>
                <w:lang w:eastAsia="lt-LT"/>
              </w:rPr>
              <w:t>Tipas pagal  LST EN 12352 [6.</w:t>
            </w:r>
            <w:r>
              <w:rPr>
                <w:b/>
                <w:bCs/>
                <w:color w:val="000000"/>
                <w:sz w:val="22"/>
                <w:szCs w:val="22"/>
                <w:lang w:eastAsia="lt-LT"/>
              </w:rPr>
              <w:t>23]</w:t>
            </w:r>
          </w:p>
        </w:tc>
        <w:tc>
          <w:tcPr>
            <w:tcW w:w="1874"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14:paraId="2B9ECCAF" w14:textId="77777777" w:rsidR="0018765B" w:rsidRDefault="00F67D3E">
            <w:pPr>
              <w:widowControl w:val="0"/>
              <w:suppressAutoHyphens/>
              <w:jc w:val="center"/>
              <w:rPr>
                <w:color w:val="000000"/>
                <w:sz w:val="22"/>
                <w:szCs w:val="22"/>
                <w:lang w:eastAsia="lt-LT"/>
              </w:rPr>
            </w:pPr>
            <w:r>
              <w:rPr>
                <w:b/>
                <w:bCs/>
                <w:color w:val="000000"/>
                <w:sz w:val="22"/>
                <w:szCs w:val="22"/>
                <w:lang w:eastAsia="lt-LT"/>
              </w:rPr>
              <w:t>Šviesos šaltinio rūšis:</w:t>
            </w:r>
          </w:p>
        </w:tc>
        <w:tc>
          <w:tcPr>
            <w:tcW w:w="1378"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14:paraId="2B9ECCB0" w14:textId="77777777" w:rsidR="0018765B" w:rsidRDefault="00F67D3E">
            <w:pPr>
              <w:widowControl w:val="0"/>
              <w:suppressAutoHyphens/>
              <w:jc w:val="center"/>
              <w:rPr>
                <w:color w:val="000000"/>
                <w:sz w:val="22"/>
                <w:szCs w:val="22"/>
                <w:lang w:eastAsia="lt-LT"/>
              </w:rPr>
            </w:pPr>
            <w:r>
              <w:rPr>
                <w:b/>
                <w:bCs/>
                <w:color w:val="000000"/>
                <w:sz w:val="22"/>
                <w:szCs w:val="22"/>
                <w:lang w:eastAsia="lt-LT"/>
              </w:rPr>
              <w:t>Taikymo rūšis:</w:t>
            </w:r>
          </w:p>
        </w:tc>
        <w:tc>
          <w:tcPr>
            <w:tcW w:w="1265"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14:paraId="2B9ECCB1" w14:textId="77777777" w:rsidR="0018765B" w:rsidRDefault="00F67D3E">
            <w:pPr>
              <w:widowControl w:val="0"/>
              <w:suppressAutoHyphens/>
              <w:jc w:val="center"/>
              <w:rPr>
                <w:color w:val="000000"/>
                <w:sz w:val="22"/>
                <w:szCs w:val="22"/>
                <w:lang w:eastAsia="lt-LT"/>
              </w:rPr>
            </w:pPr>
            <w:r>
              <w:rPr>
                <w:b/>
                <w:bCs/>
                <w:color w:val="000000"/>
                <w:sz w:val="22"/>
                <w:szCs w:val="22"/>
                <w:lang w:eastAsia="lt-LT"/>
              </w:rPr>
              <w:t>Šviesą skleidžiančio paviršiaus plotas, cm</w:t>
            </w:r>
            <w:r>
              <w:rPr>
                <w:b/>
                <w:bCs/>
                <w:color w:val="000000"/>
                <w:sz w:val="22"/>
                <w:szCs w:val="22"/>
                <w:vertAlign w:val="superscript"/>
                <w:lang w:eastAsia="lt-LT"/>
              </w:rPr>
              <w:t>2</w:t>
            </w:r>
          </w:p>
        </w:tc>
        <w:tc>
          <w:tcPr>
            <w:tcW w:w="389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14:paraId="2B9ECCB2" w14:textId="77777777" w:rsidR="0018765B" w:rsidRDefault="00F67D3E">
            <w:pPr>
              <w:widowControl w:val="0"/>
              <w:suppressAutoHyphens/>
              <w:jc w:val="center"/>
              <w:rPr>
                <w:color w:val="000000"/>
                <w:sz w:val="22"/>
                <w:szCs w:val="22"/>
                <w:lang w:eastAsia="lt-LT"/>
              </w:rPr>
            </w:pPr>
            <w:r>
              <w:rPr>
                <w:b/>
                <w:bCs/>
                <w:color w:val="000000"/>
                <w:sz w:val="22"/>
                <w:szCs w:val="22"/>
                <w:lang w:eastAsia="lt-LT"/>
              </w:rPr>
              <w:t>Naudojimas</w:t>
            </w:r>
          </w:p>
        </w:tc>
      </w:tr>
      <w:tr w:rsidR="0018765B" w14:paraId="2B9ECCBB" w14:textId="77777777">
        <w:trPr>
          <w:trHeight w:val="20"/>
        </w:trPr>
        <w:tc>
          <w:tcPr>
            <w:tcW w:w="1391" w:type="dxa"/>
            <w:vMerge/>
            <w:tcBorders>
              <w:top w:val="nil"/>
              <w:left w:val="single" w:sz="4" w:space="0" w:color="000000"/>
              <w:bottom w:val="nil"/>
              <w:right w:val="single" w:sz="4" w:space="0" w:color="000000"/>
            </w:tcBorders>
          </w:tcPr>
          <w:p w14:paraId="2B9ECCB4" w14:textId="77777777" w:rsidR="0018765B" w:rsidRDefault="0018765B">
            <w:pPr>
              <w:widowControl w:val="0"/>
              <w:jc w:val="center"/>
              <w:rPr>
                <w:sz w:val="22"/>
                <w:szCs w:val="22"/>
                <w:lang w:eastAsia="lt-LT"/>
              </w:rPr>
            </w:pPr>
          </w:p>
        </w:tc>
        <w:tc>
          <w:tcPr>
            <w:tcW w:w="1282" w:type="dxa"/>
            <w:tcBorders>
              <w:top w:val="single" w:sz="4" w:space="0" w:color="000000"/>
              <w:left w:val="single" w:sz="4" w:space="0" w:color="000000"/>
              <w:bottom w:val="single" w:sz="6" w:space="0" w:color="000000"/>
              <w:right w:val="single" w:sz="6" w:space="0" w:color="000000"/>
            </w:tcBorders>
            <w:tcMar>
              <w:top w:w="57" w:type="dxa"/>
              <w:left w:w="57" w:type="dxa"/>
              <w:bottom w:w="57" w:type="dxa"/>
              <w:right w:w="57" w:type="dxa"/>
            </w:tcMar>
            <w:vAlign w:val="center"/>
          </w:tcPr>
          <w:p w14:paraId="2B9ECCB5" w14:textId="77777777" w:rsidR="0018765B" w:rsidRDefault="00F67D3E">
            <w:pPr>
              <w:widowControl w:val="0"/>
              <w:suppressAutoHyphens/>
              <w:rPr>
                <w:color w:val="000000"/>
                <w:sz w:val="22"/>
                <w:szCs w:val="22"/>
                <w:lang w:eastAsia="lt-LT"/>
              </w:rPr>
            </w:pPr>
            <w:r>
              <w:rPr>
                <w:color w:val="000000"/>
                <w:sz w:val="22"/>
                <w:szCs w:val="22"/>
                <w:lang w:eastAsia="lt-LT"/>
              </w:rPr>
              <w:t>nukreiptasis šviesos šaltinis</w:t>
            </w:r>
          </w:p>
        </w:tc>
        <w:tc>
          <w:tcPr>
            <w:tcW w:w="592" w:type="dxa"/>
            <w:tcBorders>
              <w:top w:val="single" w:sz="4" w:space="0" w:color="000000"/>
              <w:left w:val="single" w:sz="6" w:space="0" w:color="000000"/>
              <w:bottom w:val="single" w:sz="6" w:space="0" w:color="000000"/>
              <w:right w:val="single" w:sz="4" w:space="0" w:color="000000"/>
            </w:tcBorders>
            <w:tcMar>
              <w:top w:w="57" w:type="dxa"/>
              <w:left w:w="57" w:type="dxa"/>
              <w:bottom w:w="57" w:type="dxa"/>
              <w:right w:w="57" w:type="dxa"/>
            </w:tcMar>
            <w:vAlign w:val="center"/>
          </w:tcPr>
          <w:p w14:paraId="2B9ECCB6" w14:textId="77777777" w:rsidR="0018765B" w:rsidRDefault="00F67D3E">
            <w:pPr>
              <w:widowControl w:val="0"/>
              <w:suppressAutoHyphens/>
              <w:rPr>
                <w:color w:val="000000"/>
                <w:sz w:val="22"/>
                <w:szCs w:val="22"/>
                <w:lang w:eastAsia="lt-LT"/>
              </w:rPr>
            </w:pPr>
            <w:r>
              <w:rPr>
                <w:color w:val="000000"/>
                <w:sz w:val="22"/>
                <w:szCs w:val="22"/>
                <w:lang w:eastAsia="lt-LT"/>
              </w:rPr>
              <w:t>Nu</w:t>
            </w:r>
          </w:p>
        </w:tc>
        <w:tc>
          <w:tcPr>
            <w:tcW w:w="1006" w:type="dxa"/>
            <w:tcBorders>
              <w:top w:val="single" w:sz="4" w:space="0" w:color="000000"/>
              <w:left w:val="single" w:sz="4" w:space="0" w:color="000000"/>
              <w:bottom w:val="single" w:sz="6" w:space="0" w:color="000000"/>
              <w:right w:val="single" w:sz="6" w:space="0" w:color="000000"/>
            </w:tcBorders>
            <w:tcMar>
              <w:top w:w="57" w:type="dxa"/>
              <w:left w:w="57" w:type="dxa"/>
              <w:bottom w:w="57" w:type="dxa"/>
              <w:right w:w="57" w:type="dxa"/>
            </w:tcMar>
            <w:vAlign w:val="center"/>
          </w:tcPr>
          <w:p w14:paraId="2B9ECCB7" w14:textId="77777777" w:rsidR="0018765B" w:rsidRDefault="00F67D3E">
            <w:pPr>
              <w:widowControl w:val="0"/>
              <w:suppressAutoHyphens/>
              <w:rPr>
                <w:color w:val="000000"/>
                <w:sz w:val="22"/>
                <w:szCs w:val="22"/>
                <w:lang w:eastAsia="lt-LT"/>
              </w:rPr>
            </w:pPr>
            <w:r>
              <w:rPr>
                <w:color w:val="000000"/>
                <w:sz w:val="22"/>
                <w:szCs w:val="22"/>
                <w:lang w:eastAsia="lt-LT"/>
              </w:rPr>
              <w:t>dieną</w:t>
            </w:r>
          </w:p>
        </w:tc>
        <w:tc>
          <w:tcPr>
            <w:tcW w:w="372" w:type="dxa"/>
            <w:tcBorders>
              <w:top w:val="single" w:sz="4" w:space="0" w:color="000000"/>
              <w:left w:val="single" w:sz="6" w:space="0" w:color="000000"/>
              <w:bottom w:val="single" w:sz="6" w:space="0" w:color="000000"/>
              <w:right w:val="single" w:sz="4" w:space="0" w:color="000000"/>
            </w:tcBorders>
            <w:tcMar>
              <w:top w:w="57" w:type="dxa"/>
              <w:left w:w="57" w:type="dxa"/>
              <w:bottom w:w="57" w:type="dxa"/>
              <w:right w:w="57" w:type="dxa"/>
            </w:tcMar>
            <w:vAlign w:val="center"/>
          </w:tcPr>
          <w:p w14:paraId="2B9ECCB8" w14:textId="77777777" w:rsidR="0018765B" w:rsidRDefault="00F67D3E">
            <w:pPr>
              <w:widowControl w:val="0"/>
              <w:suppressAutoHyphens/>
              <w:rPr>
                <w:color w:val="000000"/>
                <w:sz w:val="22"/>
                <w:szCs w:val="22"/>
                <w:lang w:eastAsia="lt-LT"/>
              </w:rPr>
            </w:pPr>
            <w:r>
              <w:rPr>
                <w:color w:val="000000"/>
                <w:sz w:val="22"/>
                <w:szCs w:val="22"/>
                <w:lang w:eastAsia="lt-LT"/>
              </w:rPr>
              <w:t>D</w:t>
            </w:r>
          </w:p>
        </w:tc>
        <w:tc>
          <w:tcPr>
            <w:tcW w:w="1265" w:type="dxa"/>
            <w:vMerge/>
            <w:tcBorders>
              <w:top w:val="nil"/>
              <w:left w:val="single" w:sz="4" w:space="0" w:color="000000"/>
              <w:bottom w:val="nil"/>
              <w:right w:val="single" w:sz="4" w:space="0" w:color="000000"/>
            </w:tcBorders>
          </w:tcPr>
          <w:p w14:paraId="2B9ECCB9" w14:textId="77777777" w:rsidR="0018765B" w:rsidRDefault="0018765B">
            <w:pPr>
              <w:widowControl w:val="0"/>
              <w:jc w:val="center"/>
              <w:rPr>
                <w:sz w:val="22"/>
                <w:szCs w:val="22"/>
                <w:lang w:eastAsia="lt-LT"/>
              </w:rPr>
            </w:pPr>
          </w:p>
        </w:tc>
        <w:tc>
          <w:tcPr>
            <w:tcW w:w="3890" w:type="dxa"/>
            <w:vMerge/>
            <w:tcBorders>
              <w:top w:val="nil"/>
              <w:left w:val="single" w:sz="4" w:space="0" w:color="000000"/>
              <w:bottom w:val="nil"/>
              <w:right w:val="single" w:sz="4" w:space="0" w:color="000000"/>
            </w:tcBorders>
          </w:tcPr>
          <w:p w14:paraId="2B9ECCBA" w14:textId="77777777" w:rsidR="0018765B" w:rsidRDefault="0018765B">
            <w:pPr>
              <w:widowControl w:val="0"/>
              <w:jc w:val="center"/>
              <w:rPr>
                <w:sz w:val="22"/>
                <w:szCs w:val="22"/>
                <w:lang w:eastAsia="lt-LT"/>
              </w:rPr>
            </w:pPr>
          </w:p>
        </w:tc>
      </w:tr>
      <w:tr w:rsidR="0018765B" w14:paraId="2B9ECCC3" w14:textId="77777777">
        <w:trPr>
          <w:trHeight w:val="20"/>
        </w:trPr>
        <w:tc>
          <w:tcPr>
            <w:tcW w:w="1391" w:type="dxa"/>
            <w:vMerge/>
            <w:tcBorders>
              <w:top w:val="nil"/>
              <w:left w:val="single" w:sz="4" w:space="0" w:color="000000"/>
              <w:bottom w:val="nil"/>
              <w:right w:val="single" w:sz="4" w:space="0" w:color="000000"/>
            </w:tcBorders>
          </w:tcPr>
          <w:p w14:paraId="2B9ECCBC" w14:textId="77777777" w:rsidR="0018765B" w:rsidRDefault="0018765B">
            <w:pPr>
              <w:widowControl w:val="0"/>
              <w:jc w:val="center"/>
              <w:rPr>
                <w:sz w:val="22"/>
                <w:szCs w:val="22"/>
                <w:lang w:eastAsia="lt-LT"/>
              </w:rPr>
            </w:pPr>
          </w:p>
        </w:tc>
        <w:tc>
          <w:tcPr>
            <w:tcW w:w="1282" w:type="dxa"/>
            <w:tcBorders>
              <w:top w:val="single" w:sz="6" w:space="0" w:color="000000"/>
              <w:left w:val="single" w:sz="4" w:space="0" w:color="000000"/>
              <w:bottom w:val="single" w:sz="6" w:space="0" w:color="000000"/>
              <w:right w:val="single" w:sz="6" w:space="0" w:color="000000"/>
            </w:tcBorders>
            <w:tcMar>
              <w:top w:w="57" w:type="dxa"/>
              <w:left w:w="57" w:type="dxa"/>
              <w:bottom w:w="57" w:type="dxa"/>
              <w:right w:w="57" w:type="dxa"/>
            </w:tcMar>
            <w:vAlign w:val="center"/>
          </w:tcPr>
          <w:p w14:paraId="2B9ECCBD" w14:textId="77777777" w:rsidR="0018765B" w:rsidRDefault="00F67D3E">
            <w:pPr>
              <w:widowControl w:val="0"/>
              <w:suppressAutoHyphens/>
              <w:rPr>
                <w:color w:val="000000"/>
                <w:sz w:val="22"/>
                <w:szCs w:val="22"/>
                <w:lang w:eastAsia="lt-LT"/>
              </w:rPr>
            </w:pPr>
            <w:r>
              <w:rPr>
                <w:color w:val="000000"/>
                <w:sz w:val="22"/>
                <w:szCs w:val="22"/>
                <w:lang w:eastAsia="lt-LT"/>
              </w:rPr>
              <w:t>visų krypčių šviesos šaltinis</w:t>
            </w:r>
          </w:p>
        </w:tc>
        <w:tc>
          <w:tcPr>
            <w:tcW w:w="592" w:type="dxa"/>
            <w:tcBorders>
              <w:top w:val="single" w:sz="6" w:space="0" w:color="000000"/>
              <w:left w:val="single" w:sz="6" w:space="0" w:color="000000"/>
              <w:bottom w:val="single" w:sz="6" w:space="0" w:color="000000"/>
              <w:right w:val="single" w:sz="4" w:space="0" w:color="000000"/>
            </w:tcBorders>
            <w:tcMar>
              <w:top w:w="57" w:type="dxa"/>
              <w:left w:w="57" w:type="dxa"/>
              <w:bottom w:w="57" w:type="dxa"/>
              <w:right w:w="57" w:type="dxa"/>
            </w:tcMar>
            <w:vAlign w:val="center"/>
          </w:tcPr>
          <w:p w14:paraId="2B9ECCBE" w14:textId="77777777" w:rsidR="0018765B" w:rsidRDefault="00F67D3E">
            <w:pPr>
              <w:widowControl w:val="0"/>
              <w:suppressAutoHyphens/>
              <w:rPr>
                <w:color w:val="000000"/>
                <w:sz w:val="22"/>
                <w:szCs w:val="22"/>
                <w:lang w:eastAsia="lt-LT"/>
              </w:rPr>
            </w:pPr>
            <w:r>
              <w:rPr>
                <w:color w:val="000000"/>
                <w:sz w:val="22"/>
                <w:szCs w:val="22"/>
                <w:lang w:eastAsia="lt-LT"/>
              </w:rPr>
              <w:t>Vi</w:t>
            </w:r>
          </w:p>
        </w:tc>
        <w:tc>
          <w:tcPr>
            <w:tcW w:w="1006" w:type="dxa"/>
            <w:tcBorders>
              <w:top w:val="single" w:sz="6" w:space="0" w:color="000000"/>
              <w:left w:val="single" w:sz="4" w:space="0" w:color="000000"/>
              <w:bottom w:val="single" w:sz="6" w:space="0" w:color="000000"/>
              <w:right w:val="single" w:sz="6" w:space="0" w:color="000000"/>
            </w:tcBorders>
            <w:tcMar>
              <w:top w:w="57" w:type="dxa"/>
              <w:left w:w="57" w:type="dxa"/>
              <w:bottom w:w="57" w:type="dxa"/>
              <w:right w:w="57" w:type="dxa"/>
            </w:tcMar>
            <w:vAlign w:val="center"/>
          </w:tcPr>
          <w:p w14:paraId="2B9ECCBF" w14:textId="77777777" w:rsidR="0018765B" w:rsidRDefault="00F67D3E">
            <w:pPr>
              <w:widowControl w:val="0"/>
              <w:suppressAutoHyphens/>
              <w:rPr>
                <w:color w:val="000000"/>
                <w:sz w:val="22"/>
                <w:szCs w:val="22"/>
                <w:lang w:eastAsia="lt-LT"/>
              </w:rPr>
            </w:pPr>
            <w:r>
              <w:rPr>
                <w:color w:val="000000"/>
                <w:sz w:val="22"/>
                <w:szCs w:val="22"/>
                <w:lang w:eastAsia="lt-LT"/>
              </w:rPr>
              <w:t>naktį</w:t>
            </w:r>
          </w:p>
        </w:tc>
        <w:tc>
          <w:tcPr>
            <w:tcW w:w="372" w:type="dxa"/>
            <w:tcBorders>
              <w:top w:val="single" w:sz="6" w:space="0" w:color="000000"/>
              <w:left w:val="single" w:sz="6" w:space="0" w:color="000000"/>
              <w:bottom w:val="single" w:sz="6" w:space="0" w:color="000000"/>
              <w:right w:val="single" w:sz="4" w:space="0" w:color="000000"/>
            </w:tcBorders>
            <w:tcMar>
              <w:top w:w="57" w:type="dxa"/>
              <w:left w:w="57" w:type="dxa"/>
              <w:bottom w:w="57" w:type="dxa"/>
              <w:right w:w="57" w:type="dxa"/>
            </w:tcMar>
            <w:vAlign w:val="center"/>
          </w:tcPr>
          <w:p w14:paraId="2B9ECCC0" w14:textId="77777777" w:rsidR="0018765B" w:rsidRDefault="00F67D3E">
            <w:pPr>
              <w:widowControl w:val="0"/>
              <w:suppressAutoHyphens/>
              <w:rPr>
                <w:color w:val="000000"/>
                <w:sz w:val="22"/>
                <w:szCs w:val="22"/>
                <w:lang w:eastAsia="lt-LT"/>
              </w:rPr>
            </w:pPr>
            <w:r>
              <w:rPr>
                <w:color w:val="000000"/>
                <w:sz w:val="22"/>
                <w:szCs w:val="22"/>
                <w:lang w:eastAsia="lt-LT"/>
              </w:rPr>
              <w:t>N</w:t>
            </w:r>
          </w:p>
        </w:tc>
        <w:tc>
          <w:tcPr>
            <w:tcW w:w="1265" w:type="dxa"/>
            <w:vMerge/>
            <w:tcBorders>
              <w:top w:val="nil"/>
              <w:left w:val="single" w:sz="4" w:space="0" w:color="000000"/>
              <w:bottom w:val="nil"/>
              <w:right w:val="single" w:sz="4" w:space="0" w:color="000000"/>
            </w:tcBorders>
          </w:tcPr>
          <w:p w14:paraId="2B9ECCC1" w14:textId="77777777" w:rsidR="0018765B" w:rsidRDefault="0018765B">
            <w:pPr>
              <w:widowControl w:val="0"/>
              <w:jc w:val="center"/>
              <w:rPr>
                <w:sz w:val="22"/>
                <w:szCs w:val="22"/>
                <w:lang w:eastAsia="lt-LT"/>
              </w:rPr>
            </w:pPr>
          </w:p>
        </w:tc>
        <w:tc>
          <w:tcPr>
            <w:tcW w:w="3890" w:type="dxa"/>
            <w:vMerge/>
            <w:tcBorders>
              <w:top w:val="nil"/>
              <w:left w:val="single" w:sz="4" w:space="0" w:color="000000"/>
              <w:bottom w:val="nil"/>
              <w:right w:val="single" w:sz="4" w:space="0" w:color="000000"/>
            </w:tcBorders>
          </w:tcPr>
          <w:p w14:paraId="2B9ECCC2" w14:textId="77777777" w:rsidR="0018765B" w:rsidRDefault="0018765B">
            <w:pPr>
              <w:widowControl w:val="0"/>
              <w:jc w:val="center"/>
              <w:rPr>
                <w:sz w:val="22"/>
                <w:szCs w:val="22"/>
                <w:lang w:eastAsia="lt-LT"/>
              </w:rPr>
            </w:pPr>
          </w:p>
        </w:tc>
      </w:tr>
      <w:tr w:rsidR="0018765B" w14:paraId="2B9ECCCB" w14:textId="77777777">
        <w:trPr>
          <w:trHeight w:val="20"/>
        </w:trPr>
        <w:tc>
          <w:tcPr>
            <w:tcW w:w="1391" w:type="dxa"/>
            <w:vMerge/>
            <w:tcBorders>
              <w:top w:val="nil"/>
              <w:left w:val="single" w:sz="4" w:space="0" w:color="000000"/>
              <w:bottom w:val="nil"/>
              <w:right w:val="single" w:sz="4" w:space="0" w:color="000000"/>
            </w:tcBorders>
          </w:tcPr>
          <w:p w14:paraId="2B9ECCC4" w14:textId="77777777" w:rsidR="0018765B" w:rsidRDefault="0018765B">
            <w:pPr>
              <w:widowControl w:val="0"/>
              <w:jc w:val="center"/>
              <w:rPr>
                <w:sz w:val="22"/>
                <w:szCs w:val="22"/>
                <w:lang w:eastAsia="lt-LT"/>
              </w:rPr>
            </w:pPr>
          </w:p>
        </w:tc>
        <w:tc>
          <w:tcPr>
            <w:tcW w:w="1282" w:type="dxa"/>
            <w:tcBorders>
              <w:top w:val="single" w:sz="6" w:space="0" w:color="000000"/>
              <w:left w:val="single" w:sz="4" w:space="0" w:color="000000"/>
              <w:bottom w:val="single" w:sz="6" w:space="0" w:color="000000"/>
              <w:right w:val="single" w:sz="6" w:space="0" w:color="000000"/>
            </w:tcBorders>
            <w:tcMar>
              <w:top w:w="57" w:type="dxa"/>
              <w:left w:w="57" w:type="dxa"/>
              <w:bottom w:w="57" w:type="dxa"/>
              <w:right w:w="57" w:type="dxa"/>
            </w:tcMar>
            <w:vAlign w:val="center"/>
          </w:tcPr>
          <w:p w14:paraId="2B9ECCC5" w14:textId="77777777" w:rsidR="0018765B" w:rsidRDefault="00F67D3E">
            <w:pPr>
              <w:widowControl w:val="0"/>
              <w:suppressAutoHyphens/>
              <w:rPr>
                <w:color w:val="000000"/>
                <w:sz w:val="22"/>
                <w:szCs w:val="22"/>
                <w:lang w:eastAsia="lt-LT"/>
              </w:rPr>
            </w:pPr>
            <w:r>
              <w:rPr>
                <w:color w:val="000000"/>
                <w:sz w:val="22"/>
                <w:szCs w:val="22"/>
                <w:lang w:eastAsia="lt-LT"/>
              </w:rPr>
              <w:t>šviesos šaltinis</w:t>
            </w:r>
          </w:p>
        </w:tc>
        <w:tc>
          <w:tcPr>
            <w:tcW w:w="592" w:type="dxa"/>
            <w:tcBorders>
              <w:top w:val="single" w:sz="6" w:space="0" w:color="000000"/>
              <w:left w:val="single" w:sz="6" w:space="0" w:color="000000"/>
              <w:bottom w:val="single" w:sz="6" w:space="0" w:color="000000"/>
              <w:right w:val="single" w:sz="4" w:space="0" w:color="000000"/>
            </w:tcBorders>
            <w:tcMar>
              <w:top w:w="57" w:type="dxa"/>
              <w:left w:w="57" w:type="dxa"/>
              <w:bottom w:w="57" w:type="dxa"/>
              <w:right w:w="57" w:type="dxa"/>
            </w:tcMar>
            <w:vAlign w:val="center"/>
          </w:tcPr>
          <w:p w14:paraId="2B9ECCC6" w14:textId="77777777" w:rsidR="0018765B" w:rsidRDefault="00F67D3E">
            <w:pPr>
              <w:widowControl w:val="0"/>
              <w:suppressAutoHyphens/>
              <w:rPr>
                <w:color w:val="000000"/>
                <w:sz w:val="22"/>
                <w:szCs w:val="22"/>
                <w:lang w:eastAsia="lt-LT"/>
              </w:rPr>
            </w:pPr>
            <w:r>
              <w:rPr>
                <w:color w:val="000000"/>
                <w:sz w:val="22"/>
                <w:szCs w:val="22"/>
                <w:lang w:eastAsia="lt-LT"/>
              </w:rPr>
              <w:t>Š</w:t>
            </w:r>
          </w:p>
        </w:tc>
        <w:tc>
          <w:tcPr>
            <w:tcW w:w="1006" w:type="dxa"/>
            <w:tcBorders>
              <w:top w:val="single" w:sz="6" w:space="0" w:color="000000"/>
              <w:left w:val="single" w:sz="4" w:space="0" w:color="000000"/>
              <w:bottom w:val="single" w:sz="6" w:space="0" w:color="000000"/>
              <w:right w:val="single" w:sz="6" w:space="0" w:color="000000"/>
            </w:tcBorders>
            <w:tcMar>
              <w:top w:w="57" w:type="dxa"/>
              <w:left w:w="57" w:type="dxa"/>
              <w:bottom w:w="57" w:type="dxa"/>
              <w:right w:w="57" w:type="dxa"/>
            </w:tcMar>
            <w:vAlign w:val="center"/>
          </w:tcPr>
          <w:p w14:paraId="2B9ECCC7" w14:textId="77777777" w:rsidR="0018765B" w:rsidRDefault="00F67D3E">
            <w:pPr>
              <w:widowControl w:val="0"/>
              <w:suppressAutoHyphens/>
              <w:rPr>
                <w:color w:val="000000"/>
                <w:sz w:val="22"/>
                <w:szCs w:val="22"/>
                <w:lang w:eastAsia="lt-LT"/>
              </w:rPr>
            </w:pPr>
            <w:r>
              <w:rPr>
                <w:color w:val="000000"/>
                <w:sz w:val="22"/>
                <w:szCs w:val="22"/>
                <w:lang w:eastAsia="lt-LT"/>
              </w:rPr>
              <w:t>naktimis su pagrindine šviesa</w:t>
            </w:r>
          </w:p>
        </w:tc>
        <w:tc>
          <w:tcPr>
            <w:tcW w:w="372" w:type="dxa"/>
            <w:tcBorders>
              <w:top w:val="single" w:sz="6" w:space="0" w:color="000000"/>
              <w:left w:val="single" w:sz="6" w:space="0" w:color="000000"/>
              <w:bottom w:val="single" w:sz="6" w:space="0" w:color="000000"/>
              <w:right w:val="single" w:sz="4" w:space="0" w:color="000000"/>
            </w:tcBorders>
            <w:tcMar>
              <w:top w:w="57" w:type="dxa"/>
              <w:left w:w="57" w:type="dxa"/>
              <w:bottom w:w="57" w:type="dxa"/>
              <w:right w:w="57" w:type="dxa"/>
            </w:tcMar>
            <w:vAlign w:val="center"/>
          </w:tcPr>
          <w:p w14:paraId="2B9ECCC8" w14:textId="77777777" w:rsidR="0018765B" w:rsidRDefault="00F67D3E">
            <w:pPr>
              <w:widowControl w:val="0"/>
              <w:suppressAutoHyphens/>
              <w:rPr>
                <w:color w:val="000000"/>
                <w:sz w:val="22"/>
                <w:szCs w:val="22"/>
                <w:lang w:eastAsia="lt-LT"/>
              </w:rPr>
            </w:pPr>
            <w:r>
              <w:rPr>
                <w:color w:val="000000"/>
                <w:sz w:val="22"/>
                <w:szCs w:val="22"/>
                <w:lang w:eastAsia="lt-LT"/>
              </w:rPr>
              <w:t>P</w:t>
            </w:r>
          </w:p>
        </w:tc>
        <w:tc>
          <w:tcPr>
            <w:tcW w:w="1265" w:type="dxa"/>
            <w:vMerge/>
            <w:tcBorders>
              <w:top w:val="nil"/>
              <w:left w:val="single" w:sz="4" w:space="0" w:color="000000"/>
              <w:bottom w:val="nil"/>
              <w:right w:val="single" w:sz="4" w:space="0" w:color="000000"/>
            </w:tcBorders>
          </w:tcPr>
          <w:p w14:paraId="2B9ECCC9" w14:textId="77777777" w:rsidR="0018765B" w:rsidRDefault="0018765B">
            <w:pPr>
              <w:widowControl w:val="0"/>
              <w:jc w:val="center"/>
              <w:rPr>
                <w:sz w:val="22"/>
                <w:szCs w:val="22"/>
                <w:lang w:eastAsia="lt-LT"/>
              </w:rPr>
            </w:pPr>
          </w:p>
        </w:tc>
        <w:tc>
          <w:tcPr>
            <w:tcW w:w="3890" w:type="dxa"/>
            <w:vMerge/>
            <w:tcBorders>
              <w:top w:val="nil"/>
              <w:left w:val="single" w:sz="4" w:space="0" w:color="000000"/>
              <w:bottom w:val="nil"/>
              <w:right w:val="single" w:sz="4" w:space="0" w:color="000000"/>
            </w:tcBorders>
          </w:tcPr>
          <w:p w14:paraId="2B9ECCCA" w14:textId="77777777" w:rsidR="0018765B" w:rsidRDefault="0018765B">
            <w:pPr>
              <w:widowControl w:val="0"/>
              <w:jc w:val="center"/>
              <w:rPr>
                <w:sz w:val="22"/>
                <w:szCs w:val="22"/>
                <w:lang w:eastAsia="lt-LT"/>
              </w:rPr>
            </w:pPr>
          </w:p>
        </w:tc>
      </w:tr>
      <w:tr w:rsidR="0018765B" w14:paraId="2B9ECCD3" w14:textId="77777777">
        <w:trPr>
          <w:trHeight w:val="20"/>
        </w:trPr>
        <w:tc>
          <w:tcPr>
            <w:tcW w:w="1391" w:type="dxa"/>
            <w:vMerge/>
            <w:tcBorders>
              <w:top w:val="nil"/>
              <w:left w:val="single" w:sz="4" w:space="0" w:color="000000"/>
              <w:bottom w:val="nil"/>
              <w:right w:val="single" w:sz="4" w:space="0" w:color="000000"/>
            </w:tcBorders>
          </w:tcPr>
          <w:p w14:paraId="2B9ECCCC" w14:textId="77777777" w:rsidR="0018765B" w:rsidRDefault="0018765B">
            <w:pPr>
              <w:widowControl w:val="0"/>
              <w:jc w:val="center"/>
              <w:rPr>
                <w:sz w:val="22"/>
                <w:szCs w:val="22"/>
                <w:lang w:eastAsia="lt-LT"/>
              </w:rPr>
            </w:pPr>
          </w:p>
        </w:tc>
        <w:tc>
          <w:tcPr>
            <w:tcW w:w="1282" w:type="dxa"/>
            <w:tcBorders>
              <w:top w:val="single" w:sz="6" w:space="0" w:color="000000"/>
              <w:left w:val="single" w:sz="4" w:space="0" w:color="000000"/>
              <w:bottom w:val="single" w:sz="6" w:space="0" w:color="000000"/>
              <w:right w:val="single" w:sz="6" w:space="0" w:color="000000"/>
            </w:tcBorders>
            <w:tcMar>
              <w:top w:w="57" w:type="dxa"/>
              <w:left w:w="57" w:type="dxa"/>
              <w:bottom w:w="57" w:type="dxa"/>
              <w:right w:w="57" w:type="dxa"/>
            </w:tcMar>
            <w:vAlign w:val="center"/>
          </w:tcPr>
          <w:p w14:paraId="2B9ECCCD" w14:textId="77777777" w:rsidR="0018765B" w:rsidRDefault="00F67D3E">
            <w:pPr>
              <w:widowControl w:val="0"/>
              <w:suppressAutoHyphens/>
              <w:rPr>
                <w:color w:val="000000"/>
                <w:sz w:val="22"/>
                <w:szCs w:val="22"/>
                <w:lang w:eastAsia="lt-LT"/>
              </w:rPr>
            </w:pPr>
            <w:r>
              <w:rPr>
                <w:color w:val="000000"/>
                <w:sz w:val="22"/>
                <w:szCs w:val="22"/>
                <w:lang w:eastAsia="lt-LT"/>
              </w:rPr>
              <w:t xml:space="preserve">1 – </w:t>
            </w:r>
            <w:r>
              <w:rPr>
                <w:color w:val="000000"/>
                <w:sz w:val="22"/>
                <w:szCs w:val="22"/>
                <w:lang w:eastAsia="lt-LT"/>
              </w:rPr>
              <w:t>vienpusis</w:t>
            </w:r>
          </w:p>
        </w:tc>
        <w:tc>
          <w:tcPr>
            <w:tcW w:w="592" w:type="dxa"/>
            <w:tcBorders>
              <w:top w:val="single" w:sz="6" w:space="0" w:color="000000"/>
              <w:left w:val="single" w:sz="6" w:space="0" w:color="000000"/>
              <w:bottom w:val="single" w:sz="6" w:space="0" w:color="000000"/>
              <w:right w:val="single" w:sz="4" w:space="0" w:color="000000"/>
            </w:tcBorders>
            <w:tcMar>
              <w:top w:w="57" w:type="dxa"/>
              <w:left w:w="57" w:type="dxa"/>
              <w:bottom w:w="57" w:type="dxa"/>
              <w:right w:w="57" w:type="dxa"/>
            </w:tcMar>
            <w:vAlign w:val="center"/>
          </w:tcPr>
          <w:p w14:paraId="2B9ECCCE" w14:textId="77777777" w:rsidR="0018765B" w:rsidRDefault="00F67D3E">
            <w:pPr>
              <w:widowControl w:val="0"/>
              <w:suppressAutoHyphens/>
              <w:rPr>
                <w:color w:val="000000"/>
                <w:sz w:val="22"/>
                <w:szCs w:val="22"/>
                <w:lang w:eastAsia="lt-LT"/>
              </w:rPr>
            </w:pPr>
            <w:r>
              <w:rPr>
                <w:color w:val="000000"/>
                <w:sz w:val="22"/>
                <w:szCs w:val="22"/>
                <w:lang w:eastAsia="lt-LT"/>
              </w:rPr>
              <w:t>1p</w:t>
            </w:r>
          </w:p>
        </w:tc>
        <w:tc>
          <w:tcPr>
            <w:tcW w:w="1006" w:type="dxa"/>
            <w:tcBorders>
              <w:top w:val="single" w:sz="6" w:space="0" w:color="000000"/>
              <w:left w:val="single" w:sz="4" w:space="0" w:color="000000"/>
              <w:bottom w:val="single" w:sz="6" w:space="0" w:color="000000"/>
              <w:right w:val="single" w:sz="6" w:space="0" w:color="000000"/>
            </w:tcBorders>
            <w:tcMar>
              <w:top w:w="57" w:type="dxa"/>
              <w:left w:w="57" w:type="dxa"/>
              <w:bottom w:w="57" w:type="dxa"/>
              <w:right w:w="57" w:type="dxa"/>
            </w:tcMar>
            <w:vAlign w:val="center"/>
          </w:tcPr>
          <w:p w14:paraId="2B9ECCCF" w14:textId="77777777" w:rsidR="0018765B" w:rsidRDefault="0018765B">
            <w:pPr>
              <w:widowControl w:val="0"/>
              <w:rPr>
                <w:sz w:val="22"/>
                <w:szCs w:val="22"/>
                <w:lang w:eastAsia="lt-LT"/>
              </w:rPr>
            </w:pPr>
          </w:p>
        </w:tc>
        <w:tc>
          <w:tcPr>
            <w:tcW w:w="372" w:type="dxa"/>
            <w:tcBorders>
              <w:top w:val="single" w:sz="6" w:space="0" w:color="000000"/>
              <w:left w:val="single" w:sz="6" w:space="0" w:color="000000"/>
              <w:bottom w:val="single" w:sz="6" w:space="0" w:color="000000"/>
              <w:right w:val="single" w:sz="4" w:space="0" w:color="000000"/>
            </w:tcBorders>
            <w:tcMar>
              <w:top w:w="57" w:type="dxa"/>
              <w:left w:w="57" w:type="dxa"/>
              <w:bottom w:w="57" w:type="dxa"/>
              <w:right w:w="57" w:type="dxa"/>
            </w:tcMar>
            <w:vAlign w:val="center"/>
          </w:tcPr>
          <w:p w14:paraId="2B9ECCD0" w14:textId="77777777" w:rsidR="0018765B" w:rsidRDefault="0018765B">
            <w:pPr>
              <w:widowControl w:val="0"/>
              <w:rPr>
                <w:sz w:val="22"/>
                <w:szCs w:val="22"/>
                <w:lang w:eastAsia="lt-LT"/>
              </w:rPr>
            </w:pPr>
          </w:p>
        </w:tc>
        <w:tc>
          <w:tcPr>
            <w:tcW w:w="1265" w:type="dxa"/>
            <w:vMerge/>
            <w:tcBorders>
              <w:top w:val="nil"/>
              <w:left w:val="single" w:sz="4" w:space="0" w:color="000000"/>
              <w:bottom w:val="nil"/>
              <w:right w:val="single" w:sz="4" w:space="0" w:color="000000"/>
            </w:tcBorders>
          </w:tcPr>
          <w:p w14:paraId="2B9ECCD1" w14:textId="77777777" w:rsidR="0018765B" w:rsidRDefault="0018765B">
            <w:pPr>
              <w:widowControl w:val="0"/>
              <w:jc w:val="center"/>
              <w:rPr>
                <w:sz w:val="22"/>
                <w:szCs w:val="22"/>
                <w:lang w:eastAsia="lt-LT"/>
              </w:rPr>
            </w:pPr>
          </w:p>
        </w:tc>
        <w:tc>
          <w:tcPr>
            <w:tcW w:w="3890" w:type="dxa"/>
            <w:vMerge/>
            <w:tcBorders>
              <w:top w:val="nil"/>
              <w:left w:val="single" w:sz="4" w:space="0" w:color="000000"/>
              <w:bottom w:val="nil"/>
              <w:right w:val="single" w:sz="4" w:space="0" w:color="000000"/>
            </w:tcBorders>
          </w:tcPr>
          <w:p w14:paraId="2B9ECCD2" w14:textId="77777777" w:rsidR="0018765B" w:rsidRDefault="0018765B">
            <w:pPr>
              <w:widowControl w:val="0"/>
              <w:jc w:val="center"/>
              <w:rPr>
                <w:sz w:val="22"/>
                <w:szCs w:val="22"/>
                <w:lang w:eastAsia="lt-LT"/>
              </w:rPr>
            </w:pPr>
          </w:p>
        </w:tc>
      </w:tr>
      <w:tr w:rsidR="0018765B" w14:paraId="2B9ECCDB" w14:textId="77777777">
        <w:trPr>
          <w:trHeight w:val="20"/>
        </w:trPr>
        <w:tc>
          <w:tcPr>
            <w:tcW w:w="1391" w:type="dxa"/>
            <w:vMerge/>
            <w:tcBorders>
              <w:top w:val="nil"/>
              <w:left w:val="single" w:sz="4" w:space="0" w:color="000000"/>
              <w:bottom w:val="single" w:sz="4" w:space="0" w:color="000000"/>
              <w:right w:val="single" w:sz="4" w:space="0" w:color="000000"/>
            </w:tcBorders>
          </w:tcPr>
          <w:p w14:paraId="2B9ECCD4" w14:textId="77777777" w:rsidR="0018765B" w:rsidRDefault="0018765B">
            <w:pPr>
              <w:widowControl w:val="0"/>
              <w:jc w:val="center"/>
              <w:rPr>
                <w:sz w:val="22"/>
                <w:szCs w:val="22"/>
                <w:lang w:eastAsia="lt-LT"/>
              </w:rPr>
            </w:pPr>
          </w:p>
        </w:tc>
        <w:tc>
          <w:tcPr>
            <w:tcW w:w="1282"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14:paraId="2B9ECCD5" w14:textId="77777777" w:rsidR="0018765B" w:rsidRDefault="00F67D3E">
            <w:pPr>
              <w:widowControl w:val="0"/>
              <w:suppressAutoHyphens/>
              <w:rPr>
                <w:color w:val="000000"/>
                <w:sz w:val="22"/>
                <w:szCs w:val="22"/>
                <w:lang w:eastAsia="lt-LT"/>
              </w:rPr>
            </w:pPr>
            <w:r>
              <w:rPr>
                <w:color w:val="000000"/>
                <w:sz w:val="22"/>
                <w:szCs w:val="22"/>
                <w:lang w:eastAsia="lt-LT"/>
              </w:rPr>
              <w:t>2 – dvipusis</w:t>
            </w:r>
          </w:p>
        </w:tc>
        <w:tc>
          <w:tcPr>
            <w:tcW w:w="592"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14:paraId="2B9ECCD6" w14:textId="77777777" w:rsidR="0018765B" w:rsidRDefault="00F67D3E">
            <w:pPr>
              <w:widowControl w:val="0"/>
              <w:suppressAutoHyphens/>
              <w:rPr>
                <w:color w:val="000000"/>
                <w:sz w:val="22"/>
                <w:szCs w:val="22"/>
                <w:lang w:eastAsia="lt-LT"/>
              </w:rPr>
            </w:pPr>
            <w:r>
              <w:rPr>
                <w:color w:val="000000"/>
                <w:sz w:val="22"/>
                <w:szCs w:val="22"/>
                <w:lang w:eastAsia="lt-LT"/>
              </w:rPr>
              <w:t>2p</w:t>
            </w:r>
          </w:p>
        </w:tc>
        <w:tc>
          <w:tcPr>
            <w:tcW w:w="1006"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14:paraId="2B9ECCD7" w14:textId="77777777" w:rsidR="0018765B" w:rsidRDefault="0018765B">
            <w:pPr>
              <w:widowControl w:val="0"/>
              <w:rPr>
                <w:sz w:val="22"/>
                <w:szCs w:val="22"/>
                <w:lang w:eastAsia="lt-LT"/>
              </w:rPr>
            </w:pPr>
          </w:p>
        </w:tc>
        <w:tc>
          <w:tcPr>
            <w:tcW w:w="372"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14:paraId="2B9ECCD8" w14:textId="77777777" w:rsidR="0018765B" w:rsidRDefault="0018765B">
            <w:pPr>
              <w:widowControl w:val="0"/>
              <w:rPr>
                <w:sz w:val="22"/>
                <w:szCs w:val="22"/>
                <w:lang w:eastAsia="lt-LT"/>
              </w:rPr>
            </w:pPr>
          </w:p>
        </w:tc>
        <w:tc>
          <w:tcPr>
            <w:tcW w:w="1265" w:type="dxa"/>
            <w:vMerge/>
            <w:tcBorders>
              <w:top w:val="nil"/>
              <w:left w:val="single" w:sz="4" w:space="0" w:color="000000"/>
              <w:bottom w:val="single" w:sz="4" w:space="0" w:color="000000"/>
              <w:right w:val="single" w:sz="4" w:space="0" w:color="000000"/>
            </w:tcBorders>
          </w:tcPr>
          <w:p w14:paraId="2B9ECCD9" w14:textId="77777777" w:rsidR="0018765B" w:rsidRDefault="0018765B">
            <w:pPr>
              <w:widowControl w:val="0"/>
              <w:jc w:val="center"/>
              <w:rPr>
                <w:sz w:val="22"/>
                <w:szCs w:val="22"/>
                <w:lang w:eastAsia="lt-LT"/>
              </w:rPr>
            </w:pPr>
          </w:p>
        </w:tc>
        <w:tc>
          <w:tcPr>
            <w:tcW w:w="3890" w:type="dxa"/>
            <w:vMerge/>
            <w:tcBorders>
              <w:top w:val="nil"/>
              <w:left w:val="single" w:sz="4" w:space="0" w:color="000000"/>
              <w:bottom w:val="single" w:sz="4" w:space="0" w:color="000000"/>
              <w:right w:val="single" w:sz="4" w:space="0" w:color="000000"/>
            </w:tcBorders>
          </w:tcPr>
          <w:p w14:paraId="2B9ECCDA" w14:textId="77777777" w:rsidR="0018765B" w:rsidRDefault="0018765B">
            <w:pPr>
              <w:widowControl w:val="0"/>
              <w:jc w:val="center"/>
              <w:rPr>
                <w:sz w:val="22"/>
                <w:szCs w:val="22"/>
                <w:lang w:eastAsia="lt-LT"/>
              </w:rPr>
            </w:pPr>
          </w:p>
        </w:tc>
      </w:tr>
      <w:tr w:rsidR="0018765B" w14:paraId="2B9ECCE1" w14:textId="77777777">
        <w:trPr>
          <w:trHeight w:val="20"/>
        </w:trPr>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B9ECCDC" w14:textId="77777777" w:rsidR="0018765B" w:rsidRDefault="00F67D3E">
            <w:pPr>
              <w:widowControl w:val="0"/>
              <w:suppressAutoHyphens/>
              <w:jc w:val="center"/>
              <w:rPr>
                <w:color w:val="000000"/>
                <w:sz w:val="22"/>
                <w:szCs w:val="22"/>
                <w:lang w:eastAsia="lt-LT"/>
              </w:rPr>
            </w:pPr>
            <w:r>
              <w:rPr>
                <w:color w:val="000000"/>
                <w:sz w:val="22"/>
                <w:szCs w:val="22"/>
                <w:lang w:eastAsia="lt-LT"/>
              </w:rPr>
              <w:t>L7</w:t>
            </w:r>
          </w:p>
        </w:tc>
        <w:tc>
          <w:tcPr>
            <w:tcW w:w="1874"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14:paraId="2B9ECCDD" w14:textId="77777777" w:rsidR="0018765B" w:rsidRDefault="00F67D3E">
            <w:pPr>
              <w:widowControl w:val="0"/>
              <w:suppressAutoHyphens/>
              <w:jc w:val="center"/>
              <w:rPr>
                <w:color w:val="000000"/>
                <w:sz w:val="22"/>
                <w:szCs w:val="22"/>
                <w:lang w:eastAsia="lt-LT"/>
              </w:rPr>
            </w:pPr>
            <w:r>
              <w:rPr>
                <w:color w:val="000000"/>
                <w:sz w:val="22"/>
                <w:szCs w:val="22"/>
                <w:lang w:eastAsia="lt-LT"/>
              </w:rPr>
              <w:t>Nu/1p</w:t>
            </w:r>
          </w:p>
        </w:tc>
        <w:tc>
          <w:tcPr>
            <w:tcW w:w="1378"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14:paraId="2B9ECCDE" w14:textId="77777777" w:rsidR="0018765B" w:rsidRDefault="00F67D3E">
            <w:pPr>
              <w:widowControl w:val="0"/>
              <w:suppressAutoHyphens/>
              <w:jc w:val="center"/>
              <w:rPr>
                <w:color w:val="000000"/>
                <w:sz w:val="22"/>
                <w:szCs w:val="22"/>
                <w:lang w:eastAsia="lt-LT"/>
              </w:rPr>
            </w:pPr>
            <w:r>
              <w:rPr>
                <w:color w:val="000000"/>
                <w:sz w:val="22"/>
                <w:szCs w:val="22"/>
                <w:lang w:eastAsia="lt-LT"/>
              </w:rPr>
              <w:t>N</w:t>
            </w:r>
          </w:p>
        </w:tc>
        <w:tc>
          <w:tcPr>
            <w:tcW w:w="12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B9ECCDF" w14:textId="77777777" w:rsidR="0018765B" w:rsidRDefault="00F67D3E">
            <w:pPr>
              <w:widowControl w:val="0"/>
              <w:suppressAutoHyphens/>
              <w:jc w:val="center"/>
              <w:rPr>
                <w:color w:val="000000"/>
                <w:sz w:val="22"/>
                <w:szCs w:val="22"/>
                <w:lang w:eastAsia="lt-LT"/>
              </w:rPr>
            </w:pPr>
            <w:r>
              <w:rPr>
                <w:vanish/>
                <w:color w:val="000000"/>
                <w:sz w:val="22"/>
                <w:szCs w:val="22"/>
                <w:lang w:eastAsia="lt-LT"/>
              </w:rPr>
              <w:t>&gt;=</w:t>
            </w:r>
            <w:r>
              <w:rPr>
                <w:color w:val="000000"/>
                <w:sz w:val="22"/>
                <w:szCs w:val="22"/>
                <w:lang w:eastAsia="lt-LT"/>
              </w:rPr>
              <w:t>?250</w:t>
            </w:r>
          </w:p>
        </w:tc>
        <w:tc>
          <w:tcPr>
            <w:tcW w:w="38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B9ECCE0" w14:textId="77777777" w:rsidR="0018765B" w:rsidRDefault="00F67D3E">
            <w:pPr>
              <w:widowControl w:val="0"/>
              <w:suppressAutoHyphens/>
              <w:jc w:val="center"/>
              <w:rPr>
                <w:color w:val="000000"/>
                <w:sz w:val="22"/>
                <w:szCs w:val="22"/>
                <w:lang w:eastAsia="lt-LT"/>
              </w:rPr>
            </w:pPr>
            <w:r>
              <w:rPr>
                <w:color w:val="000000"/>
                <w:sz w:val="22"/>
                <w:szCs w:val="22"/>
                <w:lang w:eastAsia="lt-LT"/>
              </w:rPr>
              <w:t>Išilginiam ir skersiniam atitvėrimui</w:t>
            </w:r>
          </w:p>
        </w:tc>
      </w:tr>
      <w:tr w:rsidR="0018765B" w14:paraId="2B9ECCE7" w14:textId="77777777">
        <w:trPr>
          <w:trHeight w:val="20"/>
        </w:trPr>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B9ECCE2" w14:textId="77777777" w:rsidR="0018765B" w:rsidRDefault="00F67D3E">
            <w:pPr>
              <w:widowControl w:val="0"/>
              <w:suppressAutoHyphens/>
              <w:jc w:val="center"/>
              <w:rPr>
                <w:color w:val="000000"/>
                <w:sz w:val="22"/>
                <w:szCs w:val="22"/>
                <w:lang w:eastAsia="lt-LT"/>
              </w:rPr>
            </w:pPr>
            <w:r>
              <w:rPr>
                <w:color w:val="000000"/>
                <w:sz w:val="22"/>
                <w:szCs w:val="22"/>
                <w:lang w:eastAsia="lt-LT"/>
              </w:rPr>
              <w:t>L6</w:t>
            </w:r>
          </w:p>
        </w:tc>
        <w:tc>
          <w:tcPr>
            <w:tcW w:w="1874"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14:paraId="2B9ECCE3" w14:textId="77777777" w:rsidR="0018765B" w:rsidRDefault="00F67D3E">
            <w:pPr>
              <w:widowControl w:val="0"/>
              <w:suppressAutoHyphens/>
              <w:jc w:val="center"/>
              <w:rPr>
                <w:color w:val="000000"/>
                <w:sz w:val="22"/>
                <w:szCs w:val="22"/>
                <w:lang w:eastAsia="lt-LT"/>
              </w:rPr>
            </w:pPr>
            <w:r>
              <w:rPr>
                <w:color w:val="000000"/>
                <w:sz w:val="22"/>
                <w:szCs w:val="22"/>
                <w:lang w:eastAsia="lt-LT"/>
              </w:rPr>
              <w:t>Nu/2p</w:t>
            </w:r>
          </w:p>
        </w:tc>
        <w:tc>
          <w:tcPr>
            <w:tcW w:w="1378"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14:paraId="2B9ECCE4" w14:textId="77777777" w:rsidR="0018765B" w:rsidRDefault="00F67D3E">
            <w:pPr>
              <w:widowControl w:val="0"/>
              <w:suppressAutoHyphens/>
              <w:jc w:val="center"/>
              <w:rPr>
                <w:color w:val="000000"/>
                <w:sz w:val="22"/>
                <w:szCs w:val="22"/>
                <w:lang w:eastAsia="lt-LT"/>
              </w:rPr>
            </w:pPr>
            <w:r>
              <w:rPr>
                <w:color w:val="000000"/>
                <w:sz w:val="22"/>
                <w:szCs w:val="22"/>
                <w:lang w:eastAsia="lt-LT"/>
              </w:rPr>
              <w:t>N</w:t>
            </w:r>
          </w:p>
        </w:tc>
        <w:tc>
          <w:tcPr>
            <w:tcW w:w="12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B9ECCE5" w14:textId="77777777" w:rsidR="0018765B" w:rsidRDefault="00F67D3E">
            <w:pPr>
              <w:widowControl w:val="0"/>
              <w:suppressAutoHyphens/>
              <w:jc w:val="center"/>
              <w:rPr>
                <w:color w:val="000000"/>
                <w:sz w:val="22"/>
                <w:szCs w:val="22"/>
                <w:lang w:eastAsia="lt-LT"/>
              </w:rPr>
            </w:pPr>
            <w:r>
              <w:rPr>
                <w:vanish/>
                <w:color w:val="000000"/>
                <w:sz w:val="22"/>
                <w:szCs w:val="22"/>
                <w:lang w:eastAsia="lt-LT"/>
              </w:rPr>
              <w:t>&gt;=</w:t>
            </w:r>
            <w:r>
              <w:rPr>
                <w:color w:val="000000"/>
                <w:sz w:val="22"/>
                <w:szCs w:val="22"/>
                <w:lang w:eastAsia="lt-LT"/>
              </w:rPr>
              <w:t>?2 × 250</w:t>
            </w:r>
          </w:p>
        </w:tc>
        <w:tc>
          <w:tcPr>
            <w:tcW w:w="38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B9ECCE6" w14:textId="77777777" w:rsidR="0018765B" w:rsidRDefault="00F67D3E">
            <w:pPr>
              <w:widowControl w:val="0"/>
              <w:suppressAutoHyphens/>
              <w:jc w:val="center"/>
              <w:rPr>
                <w:color w:val="000000"/>
                <w:sz w:val="22"/>
                <w:szCs w:val="22"/>
                <w:lang w:eastAsia="lt-LT"/>
              </w:rPr>
            </w:pPr>
            <w:r>
              <w:rPr>
                <w:color w:val="000000"/>
                <w:sz w:val="22"/>
                <w:szCs w:val="22"/>
                <w:lang w:eastAsia="lt-LT"/>
              </w:rPr>
              <w:t>Išilginiam ir skersiniam atitvėrimui</w:t>
            </w:r>
          </w:p>
        </w:tc>
      </w:tr>
      <w:tr w:rsidR="0018765B" w14:paraId="2B9ECCED" w14:textId="77777777">
        <w:trPr>
          <w:trHeight w:val="20"/>
        </w:trPr>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B9ECCE8" w14:textId="77777777" w:rsidR="0018765B" w:rsidRDefault="00F67D3E">
            <w:pPr>
              <w:widowControl w:val="0"/>
              <w:suppressAutoHyphens/>
              <w:jc w:val="center"/>
              <w:rPr>
                <w:color w:val="000000"/>
                <w:sz w:val="22"/>
                <w:szCs w:val="22"/>
                <w:lang w:eastAsia="lt-LT"/>
              </w:rPr>
            </w:pPr>
            <w:r>
              <w:rPr>
                <w:color w:val="000000"/>
                <w:sz w:val="22"/>
                <w:szCs w:val="22"/>
                <w:lang w:eastAsia="lt-LT"/>
              </w:rPr>
              <w:t>L8G</w:t>
            </w:r>
          </w:p>
        </w:tc>
        <w:tc>
          <w:tcPr>
            <w:tcW w:w="1874"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14:paraId="2B9ECCE9" w14:textId="77777777" w:rsidR="0018765B" w:rsidRDefault="00F67D3E">
            <w:pPr>
              <w:widowControl w:val="0"/>
              <w:suppressAutoHyphens/>
              <w:jc w:val="center"/>
              <w:rPr>
                <w:color w:val="000000"/>
                <w:sz w:val="22"/>
                <w:szCs w:val="22"/>
                <w:lang w:eastAsia="lt-LT"/>
              </w:rPr>
            </w:pPr>
            <w:r>
              <w:rPr>
                <w:color w:val="000000"/>
                <w:sz w:val="22"/>
                <w:szCs w:val="22"/>
                <w:lang w:eastAsia="lt-LT"/>
              </w:rPr>
              <w:t>Nu/1p</w:t>
            </w:r>
          </w:p>
        </w:tc>
        <w:tc>
          <w:tcPr>
            <w:tcW w:w="1378"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14:paraId="2B9ECCEA" w14:textId="77777777" w:rsidR="0018765B" w:rsidRDefault="00F67D3E">
            <w:pPr>
              <w:widowControl w:val="0"/>
              <w:suppressAutoHyphens/>
              <w:jc w:val="center"/>
              <w:rPr>
                <w:color w:val="000000"/>
                <w:sz w:val="22"/>
                <w:szCs w:val="22"/>
                <w:lang w:eastAsia="lt-LT"/>
              </w:rPr>
            </w:pPr>
            <w:r>
              <w:rPr>
                <w:color w:val="000000"/>
                <w:sz w:val="22"/>
                <w:szCs w:val="22"/>
                <w:lang w:eastAsia="lt-LT"/>
              </w:rPr>
              <w:t>D, P</w:t>
            </w:r>
          </w:p>
        </w:tc>
        <w:tc>
          <w:tcPr>
            <w:tcW w:w="12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B9ECCEB" w14:textId="77777777" w:rsidR="0018765B" w:rsidRDefault="00F67D3E">
            <w:pPr>
              <w:widowControl w:val="0"/>
              <w:suppressAutoHyphens/>
              <w:jc w:val="center"/>
              <w:rPr>
                <w:color w:val="000000"/>
                <w:sz w:val="22"/>
                <w:szCs w:val="22"/>
                <w:lang w:eastAsia="lt-LT"/>
              </w:rPr>
            </w:pPr>
            <w:r>
              <w:rPr>
                <w:color w:val="000000"/>
                <w:sz w:val="22"/>
                <w:szCs w:val="22"/>
                <w:lang w:eastAsia="lt-LT"/>
              </w:rPr>
              <w:t>?250</w:t>
            </w:r>
          </w:p>
        </w:tc>
        <w:tc>
          <w:tcPr>
            <w:tcW w:w="38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B9ECCEC" w14:textId="77777777" w:rsidR="0018765B" w:rsidRDefault="00F67D3E">
            <w:pPr>
              <w:widowControl w:val="0"/>
              <w:suppressAutoHyphens/>
              <w:jc w:val="center"/>
              <w:rPr>
                <w:color w:val="000000"/>
                <w:sz w:val="22"/>
                <w:szCs w:val="22"/>
                <w:lang w:eastAsia="lt-LT"/>
              </w:rPr>
            </w:pPr>
            <w:r>
              <w:rPr>
                <w:color w:val="000000"/>
                <w:sz w:val="22"/>
                <w:szCs w:val="22"/>
                <w:lang w:eastAsia="lt-LT"/>
              </w:rPr>
              <w:t>Susiaurinimui ir pereigai</w:t>
            </w:r>
          </w:p>
        </w:tc>
      </w:tr>
      <w:tr w:rsidR="0018765B" w14:paraId="2B9ECCF3" w14:textId="77777777">
        <w:trPr>
          <w:trHeight w:val="20"/>
        </w:trPr>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B9ECCEE" w14:textId="77777777" w:rsidR="0018765B" w:rsidRDefault="00F67D3E">
            <w:pPr>
              <w:widowControl w:val="0"/>
              <w:suppressAutoHyphens/>
              <w:jc w:val="center"/>
              <w:rPr>
                <w:color w:val="000000"/>
                <w:sz w:val="22"/>
                <w:szCs w:val="22"/>
                <w:lang w:eastAsia="lt-LT"/>
              </w:rPr>
            </w:pPr>
            <w:r>
              <w:rPr>
                <w:color w:val="000000"/>
                <w:sz w:val="22"/>
                <w:szCs w:val="22"/>
                <w:lang w:eastAsia="lt-LT"/>
              </w:rPr>
              <w:t>L8L</w:t>
            </w:r>
          </w:p>
        </w:tc>
        <w:tc>
          <w:tcPr>
            <w:tcW w:w="1874"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14:paraId="2B9ECCEF" w14:textId="77777777" w:rsidR="0018765B" w:rsidRDefault="00F67D3E">
            <w:pPr>
              <w:widowControl w:val="0"/>
              <w:suppressAutoHyphens/>
              <w:jc w:val="center"/>
              <w:rPr>
                <w:color w:val="000000"/>
                <w:sz w:val="22"/>
                <w:szCs w:val="22"/>
                <w:lang w:eastAsia="lt-LT"/>
              </w:rPr>
            </w:pPr>
            <w:r>
              <w:rPr>
                <w:color w:val="000000"/>
                <w:sz w:val="22"/>
                <w:szCs w:val="22"/>
                <w:lang w:eastAsia="lt-LT"/>
              </w:rPr>
              <w:t>Nu/1p, 2p</w:t>
            </w:r>
          </w:p>
        </w:tc>
        <w:tc>
          <w:tcPr>
            <w:tcW w:w="1378"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14:paraId="2B9ECCF0" w14:textId="77777777" w:rsidR="0018765B" w:rsidRDefault="00F67D3E">
            <w:pPr>
              <w:widowControl w:val="0"/>
              <w:suppressAutoHyphens/>
              <w:jc w:val="center"/>
              <w:rPr>
                <w:color w:val="000000"/>
                <w:sz w:val="22"/>
                <w:szCs w:val="22"/>
                <w:lang w:eastAsia="lt-LT"/>
              </w:rPr>
            </w:pPr>
            <w:r>
              <w:rPr>
                <w:color w:val="000000"/>
                <w:sz w:val="22"/>
                <w:szCs w:val="22"/>
                <w:lang w:eastAsia="lt-LT"/>
              </w:rPr>
              <w:t>D, N</w:t>
            </w:r>
          </w:p>
        </w:tc>
        <w:tc>
          <w:tcPr>
            <w:tcW w:w="12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B9ECCF1" w14:textId="77777777" w:rsidR="0018765B" w:rsidRDefault="00F67D3E">
            <w:pPr>
              <w:widowControl w:val="0"/>
              <w:suppressAutoHyphens/>
              <w:jc w:val="center"/>
              <w:rPr>
                <w:color w:val="000000"/>
                <w:sz w:val="22"/>
                <w:szCs w:val="22"/>
                <w:lang w:eastAsia="lt-LT"/>
              </w:rPr>
            </w:pPr>
            <w:r>
              <w:rPr>
                <w:vanish/>
                <w:color w:val="000000"/>
                <w:sz w:val="22"/>
                <w:szCs w:val="22"/>
                <w:lang w:eastAsia="lt-LT"/>
              </w:rPr>
              <w:t>&gt;=</w:t>
            </w:r>
            <w:r>
              <w:rPr>
                <w:color w:val="000000"/>
                <w:sz w:val="22"/>
                <w:szCs w:val="22"/>
                <w:lang w:eastAsia="lt-LT"/>
              </w:rPr>
              <w:t>?250</w:t>
            </w:r>
          </w:p>
        </w:tc>
        <w:tc>
          <w:tcPr>
            <w:tcW w:w="38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B9ECCF2" w14:textId="77777777" w:rsidR="0018765B" w:rsidRDefault="00F67D3E">
            <w:pPr>
              <w:widowControl w:val="0"/>
              <w:suppressAutoHyphens/>
              <w:jc w:val="center"/>
              <w:rPr>
                <w:color w:val="000000"/>
                <w:sz w:val="22"/>
                <w:szCs w:val="22"/>
                <w:lang w:eastAsia="lt-LT"/>
              </w:rPr>
            </w:pPr>
            <w:r>
              <w:rPr>
                <w:color w:val="000000"/>
                <w:sz w:val="22"/>
                <w:szCs w:val="22"/>
                <w:lang w:eastAsia="lt-LT"/>
              </w:rPr>
              <w:t xml:space="preserve">Trumpalaikėse darbo </w:t>
            </w:r>
            <w:r>
              <w:rPr>
                <w:color w:val="000000"/>
                <w:sz w:val="22"/>
                <w:szCs w:val="22"/>
                <w:lang w:eastAsia="lt-LT"/>
              </w:rPr>
              <w:t>vietose, išskyrus automagistrales ir greitkelius</w:t>
            </w:r>
          </w:p>
        </w:tc>
      </w:tr>
      <w:tr w:rsidR="0018765B" w14:paraId="2B9ECCF9" w14:textId="77777777">
        <w:trPr>
          <w:trHeight w:val="20"/>
        </w:trPr>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B9ECCF4" w14:textId="77777777" w:rsidR="0018765B" w:rsidRDefault="00F67D3E">
            <w:pPr>
              <w:widowControl w:val="0"/>
              <w:suppressAutoHyphens/>
              <w:jc w:val="center"/>
              <w:rPr>
                <w:color w:val="000000"/>
                <w:sz w:val="22"/>
                <w:szCs w:val="22"/>
                <w:lang w:eastAsia="lt-LT"/>
              </w:rPr>
            </w:pPr>
            <w:r>
              <w:rPr>
                <w:color w:val="000000"/>
                <w:sz w:val="22"/>
                <w:szCs w:val="22"/>
                <w:lang w:eastAsia="lt-LT"/>
              </w:rPr>
              <w:t>L9M</w:t>
            </w:r>
          </w:p>
        </w:tc>
        <w:tc>
          <w:tcPr>
            <w:tcW w:w="1874"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14:paraId="2B9ECCF5" w14:textId="77777777" w:rsidR="0018765B" w:rsidRDefault="00F67D3E">
            <w:pPr>
              <w:widowControl w:val="0"/>
              <w:suppressAutoHyphens/>
              <w:jc w:val="center"/>
              <w:rPr>
                <w:color w:val="000000"/>
                <w:sz w:val="22"/>
                <w:szCs w:val="22"/>
                <w:lang w:eastAsia="lt-LT"/>
              </w:rPr>
            </w:pPr>
            <w:r>
              <w:rPr>
                <w:color w:val="000000"/>
                <w:sz w:val="22"/>
                <w:szCs w:val="22"/>
                <w:lang w:eastAsia="lt-LT"/>
              </w:rPr>
              <w:t>Nu/1p, 2p</w:t>
            </w:r>
          </w:p>
        </w:tc>
        <w:tc>
          <w:tcPr>
            <w:tcW w:w="1378"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14:paraId="2B9ECCF6" w14:textId="77777777" w:rsidR="0018765B" w:rsidRDefault="00F67D3E">
            <w:pPr>
              <w:widowControl w:val="0"/>
              <w:suppressAutoHyphens/>
              <w:jc w:val="center"/>
              <w:rPr>
                <w:color w:val="000000"/>
                <w:sz w:val="22"/>
                <w:szCs w:val="22"/>
                <w:lang w:eastAsia="lt-LT"/>
              </w:rPr>
            </w:pPr>
            <w:r>
              <w:rPr>
                <w:color w:val="000000"/>
                <w:sz w:val="22"/>
                <w:szCs w:val="22"/>
                <w:lang w:eastAsia="lt-LT"/>
              </w:rPr>
              <w:t>D, N</w:t>
            </w:r>
          </w:p>
        </w:tc>
        <w:tc>
          <w:tcPr>
            <w:tcW w:w="12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B9ECCF7" w14:textId="77777777" w:rsidR="0018765B" w:rsidRDefault="00F67D3E">
            <w:pPr>
              <w:widowControl w:val="0"/>
              <w:suppressAutoHyphens/>
              <w:jc w:val="center"/>
              <w:rPr>
                <w:color w:val="000000"/>
                <w:sz w:val="22"/>
                <w:szCs w:val="22"/>
                <w:lang w:eastAsia="lt-LT"/>
              </w:rPr>
            </w:pPr>
            <w:r>
              <w:rPr>
                <w:vanish/>
                <w:color w:val="000000"/>
                <w:sz w:val="22"/>
                <w:szCs w:val="22"/>
                <w:lang w:eastAsia="lt-LT"/>
              </w:rPr>
              <w:t>&gt;=</w:t>
            </w:r>
            <w:r>
              <w:rPr>
                <w:color w:val="000000"/>
                <w:sz w:val="22"/>
                <w:szCs w:val="22"/>
                <w:lang w:eastAsia="lt-LT"/>
              </w:rPr>
              <w:t>?700</w:t>
            </w:r>
          </w:p>
        </w:tc>
        <w:tc>
          <w:tcPr>
            <w:tcW w:w="38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B9ECCF8" w14:textId="77777777" w:rsidR="0018765B" w:rsidRDefault="00F67D3E">
            <w:pPr>
              <w:widowControl w:val="0"/>
              <w:suppressAutoHyphens/>
              <w:jc w:val="center"/>
              <w:rPr>
                <w:color w:val="000000"/>
                <w:sz w:val="22"/>
                <w:szCs w:val="22"/>
                <w:lang w:eastAsia="lt-LT"/>
              </w:rPr>
            </w:pPr>
            <w:r>
              <w:rPr>
                <w:color w:val="000000"/>
                <w:sz w:val="22"/>
                <w:szCs w:val="22"/>
                <w:lang w:eastAsia="lt-LT"/>
              </w:rPr>
              <w:t>Kilnojamiesiems atitvėrimo skydams; trumpalaikėse darbo vietose, išskyrus automagistrales ir greitkelius</w:t>
            </w:r>
          </w:p>
        </w:tc>
      </w:tr>
      <w:tr w:rsidR="0018765B" w14:paraId="2B9ECCFF" w14:textId="77777777">
        <w:trPr>
          <w:trHeight w:val="20"/>
        </w:trPr>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B9ECCFA" w14:textId="77777777" w:rsidR="0018765B" w:rsidRDefault="00F67D3E">
            <w:pPr>
              <w:widowControl w:val="0"/>
              <w:suppressAutoHyphens/>
              <w:jc w:val="center"/>
              <w:rPr>
                <w:color w:val="000000"/>
                <w:sz w:val="22"/>
                <w:szCs w:val="22"/>
                <w:lang w:eastAsia="lt-LT"/>
              </w:rPr>
            </w:pPr>
            <w:r>
              <w:rPr>
                <w:color w:val="000000"/>
                <w:sz w:val="22"/>
                <w:szCs w:val="22"/>
                <w:lang w:eastAsia="lt-LT"/>
              </w:rPr>
              <w:t>L8M/L8H</w:t>
            </w:r>
          </w:p>
        </w:tc>
        <w:tc>
          <w:tcPr>
            <w:tcW w:w="1874"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14:paraId="2B9ECCFB" w14:textId="77777777" w:rsidR="0018765B" w:rsidRDefault="00F67D3E">
            <w:pPr>
              <w:widowControl w:val="0"/>
              <w:suppressAutoHyphens/>
              <w:jc w:val="center"/>
              <w:rPr>
                <w:color w:val="000000"/>
                <w:sz w:val="22"/>
                <w:szCs w:val="22"/>
                <w:lang w:eastAsia="lt-LT"/>
              </w:rPr>
            </w:pPr>
            <w:r>
              <w:rPr>
                <w:color w:val="000000"/>
                <w:sz w:val="22"/>
                <w:szCs w:val="22"/>
                <w:lang w:eastAsia="lt-LT"/>
              </w:rPr>
              <w:t>Nu/1p</w:t>
            </w:r>
          </w:p>
        </w:tc>
        <w:tc>
          <w:tcPr>
            <w:tcW w:w="1378"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14:paraId="2B9ECCFC" w14:textId="77777777" w:rsidR="0018765B" w:rsidRDefault="00F67D3E">
            <w:pPr>
              <w:widowControl w:val="0"/>
              <w:suppressAutoHyphens/>
              <w:jc w:val="center"/>
              <w:rPr>
                <w:color w:val="000000"/>
                <w:sz w:val="22"/>
                <w:szCs w:val="22"/>
                <w:lang w:eastAsia="lt-LT"/>
              </w:rPr>
            </w:pPr>
            <w:r>
              <w:rPr>
                <w:color w:val="000000"/>
                <w:sz w:val="22"/>
                <w:szCs w:val="22"/>
                <w:lang w:eastAsia="lt-LT"/>
              </w:rPr>
              <w:t>D, N</w:t>
            </w:r>
          </w:p>
        </w:tc>
        <w:tc>
          <w:tcPr>
            <w:tcW w:w="12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B9ECCFD" w14:textId="77777777" w:rsidR="0018765B" w:rsidRDefault="00F67D3E">
            <w:pPr>
              <w:widowControl w:val="0"/>
              <w:suppressAutoHyphens/>
              <w:jc w:val="center"/>
              <w:rPr>
                <w:color w:val="000000"/>
                <w:sz w:val="22"/>
                <w:szCs w:val="22"/>
                <w:lang w:eastAsia="lt-LT"/>
              </w:rPr>
            </w:pPr>
            <w:r>
              <w:rPr>
                <w:vanish/>
                <w:color w:val="000000"/>
                <w:sz w:val="22"/>
                <w:szCs w:val="22"/>
                <w:lang w:eastAsia="lt-LT"/>
              </w:rPr>
              <w:t>&gt;=</w:t>
            </w:r>
            <w:r>
              <w:rPr>
                <w:color w:val="000000"/>
                <w:sz w:val="22"/>
                <w:szCs w:val="22"/>
                <w:lang w:eastAsia="lt-LT"/>
              </w:rPr>
              <w:t>?250</w:t>
            </w:r>
          </w:p>
        </w:tc>
        <w:tc>
          <w:tcPr>
            <w:tcW w:w="38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B9ECCFE" w14:textId="77777777" w:rsidR="0018765B" w:rsidRDefault="00F67D3E">
            <w:pPr>
              <w:widowControl w:val="0"/>
              <w:suppressAutoHyphens/>
              <w:jc w:val="center"/>
              <w:rPr>
                <w:color w:val="000000"/>
                <w:sz w:val="22"/>
                <w:szCs w:val="22"/>
                <w:lang w:eastAsia="lt-LT"/>
              </w:rPr>
            </w:pPr>
            <w:r>
              <w:rPr>
                <w:color w:val="000000"/>
                <w:sz w:val="22"/>
                <w:szCs w:val="22"/>
                <w:lang w:eastAsia="lt-LT"/>
              </w:rPr>
              <w:t>Krypties rodyklėms</w:t>
            </w:r>
          </w:p>
        </w:tc>
      </w:tr>
      <w:tr w:rsidR="0018765B" w14:paraId="2B9ECD05" w14:textId="77777777">
        <w:trPr>
          <w:trHeight w:val="20"/>
        </w:trPr>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B9ECD00" w14:textId="77777777" w:rsidR="0018765B" w:rsidRDefault="00F67D3E">
            <w:pPr>
              <w:widowControl w:val="0"/>
              <w:suppressAutoHyphens/>
              <w:jc w:val="center"/>
              <w:rPr>
                <w:color w:val="000000"/>
                <w:sz w:val="22"/>
                <w:szCs w:val="22"/>
                <w:lang w:eastAsia="lt-LT"/>
              </w:rPr>
            </w:pPr>
            <w:r>
              <w:rPr>
                <w:color w:val="000000"/>
                <w:sz w:val="22"/>
                <w:szCs w:val="22"/>
                <w:lang w:eastAsia="lt-LT"/>
              </w:rPr>
              <w:t>L9L/L9H</w:t>
            </w:r>
          </w:p>
        </w:tc>
        <w:tc>
          <w:tcPr>
            <w:tcW w:w="1874"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14:paraId="2B9ECD01" w14:textId="77777777" w:rsidR="0018765B" w:rsidRDefault="00F67D3E">
            <w:pPr>
              <w:widowControl w:val="0"/>
              <w:suppressAutoHyphens/>
              <w:jc w:val="center"/>
              <w:rPr>
                <w:color w:val="000000"/>
                <w:sz w:val="22"/>
                <w:szCs w:val="22"/>
                <w:lang w:eastAsia="lt-LT"/>
              </w:rPr>
            </w:pPr>
            <w:r>
              <w:rPr>
                <w:color w:val="000000"/>
                <w:sz w:val="22"/>
                <w:szCs w:val="22"/>
                <w:lang w:eastAsia="lt-LT"/>
              </w:rPr>
              <w:t>Nu/1p</w:t>
            </w:r>
          </w:p>
        </w:tc>
        <w:tc>
          <w:tcPr>
            <w:tcW w:w="1378"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14:paraId="2B9ECD02" w14:textId="77777777" w:rsidR="0018765B" w:rsidRDefault="00F67D3E">
            <w:pPr>
              <w:widowControl w:val="0"/>
              <w:suppressAutoHyphens/>
              <w:jc w:val="center"/>
              <w:rPr>
                <w:color w:val="000000"/>
                <w:sz w:val="22"/>
                <w:szCs w:val="22"/>
                <w:lang w:eastAsia="lt-LT"/>
              </w:rPr>
            </w:pPr>
            <w:r>
              <w:rPr>
                <w:color w:val="000000"/>
                <w:sz w:val="22"/>
                <w:szCs w:val="22"/>
                <w:lang w:eastAsia="lt-LT"/>
              </w:rPr>
              <w:t>D, N</w:t>
            </w:r>
          </w:p>
        </w:tc>
        <w:tc>
          <w:tcPr>
            <w:tcW w:w="12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B9ECD03" w14:textId="77777777" w:rsidR="0018765B" w:rsidRDefault="00F67D3E">
            <w:pPr>
              <w:widowControl w:val="0"/>
              <w:suppressAutoHyphens/>
              <w:jc w:val="center"/>
              <w:rPr>
                <w:color w:val="000000"/>
                <w:sz w:val="22"/>
                <w:szCs w:val="22"/>
                <w:lang w:eastAsia="lt-LT"/>
              </w:rPr>
            </w:pPr>
            <w:r>
              <w:rPr>
                <w:vanish/>
                <w:color w:val="000000"/>
                <w:sz w:val="22"/>
                <w:szCs w:val="22"/>
                <w:lang w:eastAsia="lt-LT"/>
              </w:rPr>
              <w:t>&gt;=</w:t>
            </w:r>
            <w:r>
              <w:rPr>
                <w:color w:val="000000"/>
                <w:sz w:val="22"/>
                <w:szCs w:val="22"/>
                <w:lang w:eastAsia="lt-LT"/>
              </w:rPr>
              <w:t>?700</w:t>
            </w:r>
          </w:p>
        </w:tc>
        <w:tc>
          <w:tcPr>
            <w:tcW w:w="38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B9ECD04" w14:textId="77777777" w:rsidR="0018765B" w:rsidRDefault="00F67D3E">
            <w:pPr>
              <w:widowControl w:val="0"/>
              <w:suppressAutoHyphens/>
              <w:jc w:val="center"/>
              <w:rPr>
                <w:color w:val="000000"/>
                <w:sz w:val="22"/>
                <w:szCs w:val="22"/>
                <w:lang w:eastAsia="lt-LT"/>
              </w:rPr>
            </w:pPr>
            <w:r>
              <w:rPr>
                <w:color w:val="000000"/>
                <w:sz w:val="22"/>
                <w:szCs w:val="22"/>
                <w:lang w:eastAsia="lt-LT"/>
              </w:rPr>
              <w:t>Pradiniam įspėjimui ir priekiniam signaliniam skydui</w:t>
            </w:r>
          </w:p>
        </w:tc>
      </w:tr>
      <w:tr w:rsidR="0018765B" w14:paraId="2B9ECD0B" w14:textId="77777777">
        <w:trPr>
          <w:trHeight w:val="20"/>
        </w:trPr>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B9ECD06" w14:textId="77777777" w:rsidR="0018765B" w:rsidRDefault="00F67D3E">
            <w:pPr>
              <w:widowControl w:val="0"/>
              <w:suppressAutoHyphens/>
              <w:jc w:val="center"/>
              <w:rPr>
                <w:color w:val="000000"/>
                <w:sz w:val="22"/>
                <w:szCs w:val="22"/>
                <w:lang w:eastAsia="lt-LT"/>
              </w:rPr>
            </w:pPr>
            <w:r>
              <w:rPr>
                <w:color w:val="000000"/>
                <w:sz w:val="22"/>
                <w:szCs w:val="22"/>
                <w:lang w:eastAsia="lt-LT"/>
              </w:rPr>
              <w:t>L6</w:t>
            </w:r>
          </w:p>
        </w:tc>
        <w:tc>
          <w:tcPr>
            <w:tcW w:w="1874"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14:paraId="2B9ECD07" w14:textId="77777777" w:rsidR="0018765B" w:rsidRDefault="00F67D3E">
            <w:pPr>
              <w:widowControl w:val="0"/>
              <w:suppressAutoHyphens/>
              <w:jc w:val="center"/>
              <w:rPr>
                <w:color w:val="000000"/>
                <w:sz w:val="22"/>
                <w:szCs w:val="22"/>
                <w:lang w:eastAsia="lt-LT"/>
              </w:rPr>
            </w:pPr>
            <w:r>
              <w:rPr>
                <w:color w:val="000000"/>
                <w:sz w:val="22"/>
                <w:szCs w:val="22"/>
                <w:lang w:eastAsia="lt-LT"/>
              </w:rPr>
              <w:t>Vi/-</w:t>
            </w:r>
          </w:p>
        </w:tc>
        <w:tc>
          <w:tcPr>
            <w:tcW w:w="1378"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14:paraId="2B9ECD08" w14:textId="77777777" w:rsidR="0018765B" w:rsidRDefault="00F67D3E">
            <w:pPr>
              <w:widowControl w:val="0"/>
              <w:suppressAutoHyphens/>
              <w:jc w:val="center"/>
              <w:rPr>
                <w:color w:val="000000"/>
                <w:sz w:val="22"/>
                <w:szCs w:val="22"/>
                <w:lang w:eastAsia="lt-LT"/>
              </w:rPr>
            </w:pPr>
            <w:r>
              <w:rPr>
                <w:color w:val="000000"/>
                <w:sz w:val="22"/>
                <w:szCs w:val="22"/>
                <w:lang w:eastAsia="lt-LT"/>
              </w:rPr>
              <w:t>N</w:t>
            </w:r>
          </w:p>
        </w:tc>
        <w:tc>
          <w:tcPr>
            <w:tcW w:w="12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B9ECD09" w14:textId="77777777" w:rsidR="0018765B" w:rsidRDefault="00F67D3E">
            <w:pPr>
              <w:widowControl w:val="0"/>
              <w:suppressAutoHyphens/>
              <w:jc w:val="center"/>
              <w:rPr>
                <w:color w:val="000000"/>
                <w:sz w:val="22"/>
                <w:szCs w:val="22"/>
                <w:lang w:eastAsia="lt-LT"/>
              </w:rPr>
            </w:pPr>
            <w:r>
              <w:rPr>
                <w:color w:val="000000"/>
                <w:sz w:val="22"/>
                <w:szCs w:val="22"/>
                <w:lang w:eastAsia="lt-LT"/>
              </w:rPr>
              <w:t>–</w:t>
            </w:r>
          </w:p>
        </w:tc>
        <w:tc>
          <w:tcPr>
            <w:tcW w:w="38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B9ECD0A" w14:textId="77777777" w:rsidR="0018765B" w:rsidRDefault="00F67D3E">
            <w:pPr>
              <w:widowControl w:val="0"/>
              <w:suppressAutoHyphens/>
              <w:jc w:val="center"/>
              <w:rPr>
                <w:color w:val="000000"/>
                <w:sz w:val="22"/>
                <w:szCs w:val="22"/>
                <w:lang w:eastAsia="lt-LT"/>
              </w:rPr>
            </w:pPr>
            <w:r>
              <w:rPr>
                <w:color w:val="000000"/>
                <w:sz w:val="22"/>
                <w:szCs w:val="22"/>
                <w:lang w:eastAsia="lt-LT"/>
              </w:rPr>
              <w:t>Pėsčiųjų ir dviračių takuose</w:t>
            </w:r>
          </w:p>
        </w:tc>
      </w:tr>
    </w:tbl>
    <w:p w14:paraId="2B9ECD0C" w14:textId="77777777" w:rsidR="0018765B" w:rsidRDefault="00F67D3E">
      <w:pPr>
        <w:widowControl w:val="0"/>
        <w:suppressAutoHyphens/>
        <w:ind w:firstLine="567"/>
        <w:jc w:val="both"/>
        <w:rPr>
          <w:color w:val="000000"/>
          <w:szCs w:val="24"/>
          <w:lang w:eastAsia="lt-LT"/>
        </w:rPr>
      </w:pPr>
    </w:p>
    <w:p w14:paraId="2B9ECD0D" w14:textId="77777777" w:rsidR="0018765B" w:rsidRDefault="00F67D3E">
      <w:pPr>
        <w:widowControl w:val="0"/>
        <w:suppressAutoHyphens/>
        <w:ind w:firstLine="567"/>
        <w:jc w:val="both"/>
        <w:rPr>
          <w:color w:val="000000"/>
          <w:szCs w:val="24"/>
          <w:lang w:eastAsia="lt-LT"/>
        </w:rPr>
      </w:pPr>
      <w:r>
        <w:rPr>
          <w:color w:val="000000"/>
          <w:szCs w:val="24"/>
          <w:lang w:eastAsia="lt-LT"/>
        </w:rPr>
        <w:t>15</w:t>
      </w:r>
      <w:r>
        <w:rPr>
          <w:color w:val="000000"/>
          <w:szCs w:val="24"/>
          <w:lang w:eastAsia="lt-LT"/>
        </w:rPr>
        <w:t>. Išdėstau 175 punktą taip:</w:t>
      </w:r>
    </w:p>
    <w:p w14:paraId="2B9ECD0E" w14:textId="77777777" w:rsidR="0018765B" w:rsidRDefault="00F67D3E">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175</w:t>
      </w:r>
      <w:r>
        <w:rPr>
          <w:color w:val="000000"/>
          <w:szCs w:val="24"/>
          <w:lang w:eastAsia="lt-LT"/>
        </w:rPr>
        <w:t xml:space="preserve">. Visoms statybos įmonių transporto priemonėms, kurios naudojamos kaip darbinės transporto priemonės, rekomenduojama </w:t>
      </w:r>
      <w:r>
        <w:rPr>
          <w:color w:val="000000"/>
          <w:szCs w:val="24"/>
          <w:lang w:eastAsia="lt-LT"/>
        </w:rPr>
        <w:t>taikyti gelsvai oranžinės spalvos lakuotę.“</w:t>
      </w:r>
    </w:p>
    <w:p w14:paraId="2B9ECD0F" w14:textId="77777777" w:rsidR="0018765B" w:rsidRDefault="00F67D3E">
      <w:pPr>
        <w:widowControl w:val="0"/>
        <w:suppressAutoHyphens/>
        <w:ind w:firstLine="567"/>
        <w:jc w:val="both"/>
        <w:rPr>
          <w:color w:val="000000"/>
          <w:szCs w:val="24"/>
          <w:lang w:eastAsia="lt-LT"/>
        </w:rPr>
      </w:pPr>
      <w:r>
        <w:rPr>
          <w:color w:val="000000"/>
          <w:szCs w:val="24"/>
          <w:lang w:eastAsia="lt-LT"/>
        </w:rPr>
        <w:t>16</w:t>
      </w:r>
      <w:r>
        <w:rPr>
          <w:color w:val="000000"/>
          <w:szCs w:val="24"/>
          <w:lang w:eastAsia="lt-LT"/>
        </w:rPr>
        <w:t>. Išdėstau 176 punktą taip:</w:t>
      </w:r>
    </w:p>
    <w:p w14:paraId="2B9ECD10" w14:textId="77777777" w:rsidR="0018765B" w:rsidRDefault="00F67D3E">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176</w:t>
      </w:r>
      <w:r>
        <w:rPr>
          <w:color w:val="000000"/>
          <w:szCs w:val="24"/>
          <w:lang w:eastAsia="lt-LT"/>
        </w:rPr>
        <w:t>. Darbines transporto priemones, naudojamas kelio juostoje, rekomenduojama papildomai paženklinti raudonomis fluorescencinėmis ir geltonomis šviesą atspindinčiomis įstr</w:t>
      </w:r>
      <w:r>
        <w:rPr>
          <w:color w:val="000000"/>
          <w:szCs w:val="24"/>
          <w:lang w:eastAsia="lt-LT"/>
        </w:rPr>
        <w:t xml:space="preserve">ižomis juostomis (pagal KET [6.4] 4 priedą). Šis apsauginis ženklinimas turi atitikti šviesą atspindinčių kelio ženklų ženklinimo reikalavimus (aprašas TRA VŽ [6.14]). Apsauginiai ženklai pritvirtinami ant transporto priemonių visų vertikalių plokštumų, į </w:t>
      </w:r>
      <w:r>
        <w:rPr>
          <w:color w:val="000000"/>
          <w:szCs w:val="24"/>
          <w:lang w:eastAsia="lt-LT"/>
        </w:rPr>
        <w:t>apačią 45? kampu einančiomis link transporto priemonės krašto juostomis. Tiek raudonų, tiek geltonų juostų plotis – 100 mm. Minimaliam priekinės ir galinės pusės plotui padengti reikia 8 gabalų po 2 atskirus stačiakampio formos nuo 130 iki 150 mm pločio sk</w:t>
      </w:r>
      <w:r>
        <w:rPr>
          <w:color w:val="000000"/>
          <w:szCs w:val="24"/>
          <w:lang w:eastAsia="lt-LT"/>
        </w:rPr>
        <w:t>iriamųjų ženklų. Didesnį plotą ženklinti rekomenduojama tų transporto priemonių, kurios dirba automagistralėse ir greitkeliuose.</w:t>
      </w:r>
    </w:p>
    <w:p w14:paraId="2B9ECD11" w14:textId="77777777" w:rsidR="0018765B" w:rsidRDefault="00F67D3E">
      <w:pPr>
        <w:widowControl w:val="0"/>
        <w:suppressAutoHyphens/>
        <w:ind w:firstLine="567"/>
        <w:jc w:val="both"/>
        <w:rPr>
          <w:color w:val="000000"/>
          <w:szCs w:val="24"/>
          <w:lang w:eastAsia="lt-LT"/>
        </w:rPr>
      </w:pPr>
      <w:r>
        <w:rPr>
          <w:color w:val="000000"/>
          <w:szCs w:val="24"/>
          <w:lang w:eastAsia="lt-LT"/>
        </w:rPr>
        <w:t>Ant darbinės transporto priemonės, kuri dirba ne nuolat, ypač kai tai susiję su statybos rangovų transporto priemonėmis, apsaug</w:t>
      </w:r>
      <w:r>
        <w:rPr>
          <w:color w:val="000000"/>
          <w:szCs w:val="24"/>
          <w:lang w:eastAsia="lt-LT"/>
        </w:rPr>
        <w:t>iniam ženklinimui reiktų naudoti nuimamus arba atverčiamus skydus.“</w:t>
      </w:r>
    </w:p>
    <w:p w14:paraId="2B9ECD12" w14:textId="77777777" w:rsidR="0018765B" w:rsidRDefault="00F67D3E">
      <w:pPr>
        <w:widowControl w:val="0"/>
        <w:suppressAutoHyphens/>
        <w:ind w:firstLine="567"/>
        <w:jc w:val="both"/>
        <w:rPr>
          <w:color w:val="000000"/>
          <w:szCs w:val="24"/>
          <w:lang w:eastAsia="lt-LT"/>
        </w:rPr>
      </w:pPr>
      <w:r>
        <w:rPr>
          <w:color w:val="000000"/>
          <w:szCs w:val="24"/>
          <w:lang w:eastAsia="lt-LT"/>
        </w:rPr>
        <w:t>17</w:t>
      </w:r>
      <w:r>
        <w:rPr>
          <w:color w:val="000000"/>
          <w:szCs w:val="24"/>
          <w:lang w:eastAsia="lt-LT"/>
        </w:rPr>
        <w:t>. Išdėstau 188.2 punktą taip:</w:t>
      </w:r>
    </w:p>
    <w:p w14:paraId="2B9ECD13" w14:textId="77777777" w:rsidR="0018765B" w:rsidRDefault="00F67D3E">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188.2</w:t>
      </w:r>
      <w:r>
        <w:rPr>
          <w:color w:val="000000"/>
          <w:szCs w:val="24"/>
          <w:lang w:eastAsia="lt-LT"/>
        </w:rPr>
        <w:t>. spalvos (5.1 poskyris) – pagal 2 lentelę;“.</w:t>
      </w:r>
    </w:p>
    <w:p w14:paraId="2B9ECD14" w14:textId="77777777" w:rsidR="0018765B" w:rsidRDefault="00F67D3E">
      <w:pPr>
        <w:widowControl w:val="0"/>
        <w:suppressAutoHyphens/>
        <w:ind w:firstLine="567"/>
        <w:jc w:val="both"/>
        <w:rPr>
          <w:color w:val="000000"/>
          <w:szCs w:val="24"/>
          <w:lang w:eastAsia="lt-LT"/>
        </w:rPr>
      </w:pPr>
      <w:r>
        <w:rPr>
          <w:color w:val="000000"/>
          <w:szCs w:val="24"/>
          <w:lang w:eastAsia="lt-LT"/>
        </w:rPr>
        <w:t>18</w:t>
      </w:r>
      <w:r>
        <w:rPr>
          <w:color w:val="000000"/>
          <w:szCs w:val="24"/>
          <w:lang w:eastAsia="lt-LT"/>
        </w:rPr>
        <w:t>. Išdėstau 225 punktą taip:</w:t>
      </w:r>
    </w:p>
    <w:p w14:paraId="2B9ECD15" w14:textId="77777777" w:rsidR="0018765B" w:rsidRDefault="00F67D3E">
      <w:pPr>
        <w:widowControl w:val="0"/>
        <w:suppressAutoHyphens/>
        <w:ind w:firstLine="567"/>
        <w:jc w:val="both"/>
        <w:rPr>
          <w:color w:val="000000"/>
          <w:spacing w:val="-2"/>
          <w:szCs w:val="24"/>
          <w:lang w:eastAsia="lt-LT"/>
        </w:rPr>
      </w:pPr>
      <w:r>
        <w:rPr>
          <w:color w:val="000000"/>
          <w:spacing w:val="-2"/>
          <w:szCs w:val="24"/>
          <w:lang w:eastAsia="lt-LT"/>
        </w:rPr>
        <w:t>„</w:t>
      </w:r>
      <w:r>
        <w:rPr>
          <w:color w:val="000000"/>
          <w:spacing w:val="-2"/>
          <w:szCs w:val="24"/>
          <w:lang w:eastAsia="lt-LT"/>
        </w:rPr>
        <w:t>225</w:t>
      </w:r>
      <w:r>
        <w:rPr>
          <w:color w:val="000000"/>
          <w:spacing w:val="-2"/>
          <w:szCs w:val="24"/>
          <w:lang w:eastAsia="lt-LT"/>
        </w:rPr>
        <w:t xml:space="preserve">. Transporto priemonės su pavojingu kroviniu </w:t>
      </w:r>
      <w:r>
        <w:rPr>
          <w:color w:val="000000"/>
          <w:spacing w:val="-2"/>
          <w:szCs w:val="24"/>
          <w:lang w:eastAsia="lt-LT"/>
        </w:rPr>
        <w:t>negalima naudoti kaip vilkiko arba apsauginės transporto priemonės.“</w:t>
      </w:r>
    </w:p>
    <w:p w14:paraId="2B9ECD16" w14:textId="77777777" w:rsidR="0018765B" w:rsidRDefault="00F67D3E">
      <w:pPr>
        <w:widowControl w:val="0"/>
        <w:suppressAutoHyphens/>
        <w:ind w:firstLine="567"/>
        <w:jc w:val="both"/>
        <w:rPr>
          <w:color w:val="000000"/>
          <w:szCs w:val="24"/>
          <w:lang w:eastAsia="lt-LT"/>
        </w:rPr>
      </w:pPr>
      <w:r>
        <w:rPr>
          <w:color w:val="000000"/>
          <w:szCs w:val="24"/>
          <w:lang w:eastAsia="lt-LT"/>
        </w:rPr>
        <w:t>19</w:t>
      </w:r>
      <w:r>
        <w:rPr>
          <w:color w:val="000000"/>
          <w:szCs w:val="24"/>
          <w:lang w:eastAsia="lt-LT"/>
        </w:rPr>
        <w:t>. Išdėstau 226 punktą taip:</w:t>
      </w:r>
    </w:p>
    <w:p w14:paraId="2B9ECD17" w14:textId="77777777" w:rsidR="0018765B" w:rsidRDefault="00F67D3E">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226</w:t>
      </w:r>
      <w:r>
        <w:rPr>
          <w:color w:val="000000"/>
          <w:szCs w:val="24"/>
          <w:lang w:eastAsia="lt-LT"/>
        </w:rPr>
        <w:t>. Ženklinimo mašinų, joms esant eismo sraute, priekyje ir gale greta 407-ojo VŽ „Apvažiuoti iš dešinės“ turi būti pritvirtintos atitinkamai į v</w:t>
      </w:r>
      <w:r>
        <w:rPr>
          <w:color w:val="000000"/>
          <w:szCs w:val="24"/>
          <w:lang w:eastAsia="lt-LT"/>
        </w:rPr>
        <w:t>ažiavimo pusę nukreiptos mažosios blyksinčios rodyklės. Kai ženklinimo darbai atliekami dviejų važiuojamųjų dalių kelio vienoje važiuojamoje dalyje, tai ženklinimo mašinos priekyje 407-ojo VŽ „Apvažiuoti iš dešinės“ su į važiavimo pusę nukreiptomis mažosio</w:t>
      </w:r>
      <w:r>
        <w:rPr>
          <w:color w:val="000000"/>
          <w:szCs w:val="24"/>
          <w:lang w:eastAsia="lt-LT"/>
        </w:rPr>
        <w:t>mis blyksinčiomis rodyklėmis tvirtinti nereikia.“</w:t>
      </w:r>
    </w:p>
    <w:p w14:paraId="2B9ECD18" w14:textId="77777777" w:rsidR="0018765B" w:rsidRDefault="00F67D3E">
      <w:pPr>
        <w:widowControl w:val="0"/>
        <w:suppressAutoHyphens/>
        <w:ind w:firstLine="567"/>
        <w:jc w:val="both"/>
        <w:rPr>
          <w:color w:val="000000"/>
          <w:szCs w:val="24"/>
          <w:lang w:eastAsia="lt-LT"/>
        </w:rPr>
      </w:pPr>
      <w:r>
        <w:rPr>
          <w:color w:val="000000"/>
          <w:szCs w:val="24"/>
          <w:lang w:eastAsia="lt-LT"/>
        </w:rPr>
        <w:t>20</w:t>
      </w:r>
      <w:r>
        <w:rPr>
          <w:color w:val="000000"/>
          <w:szCs w:val="24"/>
          <w:lang w:eastAsia="lt-LT"/>
        </w:rPr>
        <w:t>. Išdėstau 312 punkto antrą pastraipą taip:</w:t>
      </w:r>
    </w:p>
    <w:p w14:paraId="2B9ECD19" w14:textId="77777777" w:rsidR="0018765B" w:rsidRDefault="00F67D3E">
      <w:pPr>
        <w:widowControl w:val="0"/>
        <w:suppressAutoHyphens/>
        <w:ind w:firstLine="567"/>
        <w:jc w:val="both"/>
        <w:rPr>
          <w:color w:val="000000"/>
          <w:szCs w:val="24"/>
          <w:lang w:eastAsia="lt-LT"/>
        </w:rPr>
      </w:pPr>
      <w:r>
        <w:rPr>
          <w:color w:val="000000"/>
          <w:szCs w:val="24"/>
          <w:lang w:eastAsia="lt-LT"/>
        </w:rPr>
        <w:t>„- susiaurinta vieta, įskaitant skersinius atitvėrimus, turėtų būti ne ilgesnė kaip 100 m,“.</w:t>
      </w:r>
    </w:p>
    <w:p w14:paraId="2B9ECD1A" w14:textId="77777777" w:rsidR="0018765B" w:rsidRDefault="00F67D3E">
      <w:pPr>
        <w:widowControl w:val="0"/>
        <w:suppressAutoHyphens/>
        <w:ind w:firstLine="567"/>
        <w:jc w:val="both"/>
        <w:rPr>
          <w:color w:val="000000"/>
          <w:szCs w:val="24"/>
          <w:lang w:eastAsia="lt-LT"/>
        </w:rPr>
      </w:pPr>
      <w:r>
        <w:rPr>
          <w:color w:val="000000"/>
          <w:szCs w:val="24"/>
          <w:lang w:eastAsia="lt-LT"/>
        </w:rPr>
        <w:t>21</w:t>
      </w:r>
      <w:r>
        <w:rPr>
          <w:color w:val="000000"/>
          <w:szCs w:val="24"/>
          <w:lang w:eastAsia="lt-LT"/>
        </w:rPr>
        <w:t>. Išdėstau TES K I/4 schemos lentelės įrašą „ne d</w:t>
      </w:r>
      <w:r>
        <w:rPr>
          <w:color w:val="000000"/>
          <w:szCs w:val="24"/>
          <w:lang w:eastAsia="lt-LT"/>
        </w:rPr>
        <w:t>augiau kaip 50 m“ taip: „ne daugiau kaip 100 m“.</w:t>
      </w:r>
    </w:p>
    <w:p w14:paraId="2B9ECD1B" w14:textId="77777777" w:rsidR="0018765B" w:rsidRDefault="00F67D3E">
      <w:pPr>
        <w:widowControl w:val="0"/>
        <w:suppressAutoHyphens/>
        <w:ind w:firstLine="567"/>
        <w:jc w:val="both"/>
        <w:rPr>
          <w:color w:val="000000"/>
          <w:szCs w:val="24"/>
          <w:lang w:eastAsia="lt-LT"/>
        </w:rPr>
      </w:pPr>
      <w:r>
        <w:rPr>
          <w:color w:val="000000"/>
          <w:szCs w:val="24"/>
          <w:lang w:eastAsia="lt-LT"/>
        </w:rPr>
        <w:t>22</w:t>
      </w:r>
      <w:r>
        <w:rPr>
          <w:color w:val="000000"/>
          <w:szCs w:val="24"/>
          <w:lang w:eastAsia="lt-LT"/>
        </w:rPr>
        <w:t>. Išdėstau TES K I/6 schemos lentelės įrašą „ ne daugiau kaip 50 m“ taip: „ne daugiau kaip 100 m“.</w:t>
      </w:r>
    </w:p>
    <w:p w14:paraId="2B9ECD1D" w14:textId="50416B63" w:rsidR="0018765B" w:rsidRDefault="00F67D3E">
      <w:pPr>
        <w:widowControl w:val="0"/>
        <w:suppressAutoHyphens/>
        <w:ind w:firstLine="567"/>
        <w:jc w:val="both"/>
        <w:rPr>
          <w:color w:val="000000"/>
          <w:szCs w:val="24"/>
          <w:lang w:eastAsia="lt-LT"/>
        </w:rPr>
      </w:pPr>
      <w:r>
        <w:rPr>
          <w:color w:val="000000"/>
          <w:szCs w:val="24"/>
          <w:lang w:eastAsia="lt-LT"/>
        </w:rPr>
        <w:t>23</w:t>
      </w:r>
      <w:r>
        <w:rPr>
          <w:color w:val="000000"/>
          <w:szCs w:val="24"/>
          <w:lang w:eastAsia="lt-LT"/>
        </w:rPr>
        <w:t>. Išdėstau TES KII/4 schemos lentelės įrašą „Darbo vietų zona (max. 800)“ taip: „Darbo vietų zon</w:t>
      </w:r>
      <w:r>
        <w:rPr>
          <w:color w:val="000000"/>
          <w:szCs w:val="24"/>
          <w:lang w:eastAsia="lt-LT"/>
        </w:rPr>
        <w:t>a (maks. 2000)“.</w:t>
      </w:r>
    </w:p>
    <w:p w14:paraId="78C18CB4" w14:textId="77777777" w:rsidR="00F67D3E" w:rsidRDefault="00F67D3E">
      <w:pPr>
        <w:widowControl w:val="0"/>
        <w:tabs>
          <w:tab w:val="right" w:pos="9071"/>
        </w:tabs>
        <w:suppressAutoHyphens/>
        <w:rPr>
          <w:caps/>
          <w:color w:val="000000"/>
          <w:szCs w:val="24"/>
          <w:lang w:eastAsia="lt-LT"/>
        </w:rPr>
      </w:pPr>
    </w:p>
    <w:p w14:paraId="0E3A2DAE" w14:textId="77777777" w:rsidR="00F67D3E" w:rsidRDefault="00F67D3E">
      <w:pPr>
        <w:widowControl w:val="0"/>
        <w:tabs>
          <w:tab w:val="right" w:pos="9071"/>
        </w:tabs>
        <w:suppressAutoHyphens/>
        <w:rPr>
          <w:caps/>
          <w:color w:val="000000"/>
          <w:szCs w:val="24"/>
          <w:lang w:eastAsia="lt-LT"/>
        </w:rPr>
      </w:pPr>
    </w:p>
    <w:p w14:paraId="68F72FF2" w14:textId="77777777" w:rsidR="00F67D3E" w:rsidRDefault="00F67D3E">
      <w:pPr>
        <w:widowControl w:val="0"/>
        <w:tabs>
          <w:tab w:val="right" w:pos="9071"/>
        </w:tabs>
        <w:suppressAutoHyphens/>
        <w:rPr>
          <w:caps/>
          <w:color w:val="000000"/>
          <w:szCs w:val="24"/>
          <w:lang w:eastAsia="lt-LT"/>
        </w:rPr>
      </w:pPr>
    </w:p>
    <w:p w14:paraId="2B9ECD20" w14:textId="40412056" w:rsidR="0018765B" w:rsidRDefault="00F67D3E" w:rsidP="00F67D3E">
      <w:pPr>
        <w:widowControl w:val="0"/>
        <w:tabs>
          <w:tab w:val="right" w:pos="9071"/>
        </w:tabs>
        <w:suppressAutoHyphens/>
        <w:rPr>
          <w:color w:val="000000"/>
          <w:szCs w:val="24"/>
          <w:lang w:eastAsia="lt-LT"/>
        </w:rPr>
      </w:pPr>
      <w:r>
        <w:rPr>
          <w:caps/>
          <w:color w:val="000000"/>
          <w:szCs w:val="24"/>
          <w:lang w:eastAsia="lt-LT"/>
        </w:rPr>
        <w:t xml:space="preserve">Direktorius </w:t>
      </w:r>
      <w:r>
        <w:rPr>
          <w:caps/>
          <w:color w:val="000000"/>
          <w:szCs w:val="24"/>
          <w:lang w:eastAsia="lt-LT"/>
        </w:rPr>
        <w:tab/>
        <w:t>Skirmantas Skrinskas</w:t>
      </w:r>
    </w:p>
    <w:bookmarkStart w:id="0" w:name="_GoBack" w:displacedByCustomXml="next"/>
    <w:bookmarkEnd w:id="0" w:displacedByCustomXml="next"/>
    <w:sectPr w:rsidR="0018765B">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62"/>
    <w:rsid w:val="0018765B"/>
    <w:rsid w:val="00AA3F62"/>
    <w:rsid w:val="00F67D3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E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67D3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67D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e-tar.lt/portal/lt/legalAct/TAR.63F1C2F8CCC4"/>
  <Relationship Id="rId7" Type="http://schemas.openxmlformats.org/officeDocument/2006/relationships/fontTable" Target="fontTable.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C5"/>
    <w:rsid w:val="00004A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04AC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04A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6049</Words>
  <Characters>3448</Characters>
  <Application>Microsoft Office Word</Application>
  <DocSecurity>0</DocSecurity>
  <Lines>28</Lines>
  <Paragraphs>18</Paragraphs>
  <ScaleCrop>false</ScaleCrop>
  <Company>Teisines informacijos centras</Company>
  <LinksUpToDate>false</LinksUpToDate>
  <CharactersWithSpaces>9479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2015-08-30T23:03:00Z</dcterms:created>
  <dc:creator>Kamilija</dc:creator>
  <lastModifiedBy>PETRAUSKAITĖ Girmantė</lastModifiedBy>
  <dcterms:modified xsi:type="dcterms:W3CDTF">2016-04-14T10:46:00Z</dcterms:modified>
  <revision>3</revision>
  <dc:title>LIETUVOS AUTOMOBILIŲ KELIŲ DIREKCIJOS</dc:title>
</coreProperties>
</file>