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VALSTYBĖS TARNYBOS ĮSTATYMO 29 STRAIPSNIO PAKEITIMO </w:t>
        <w:br/>
        <w:t>Į S T A T Y M A 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2012 m. spalio 2 d. Nr. XI-2264 </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xml:space="preserve">; 2003, Nr. </w:t>
      </w:r>
      <w:fldSimple w:instr="HYPERLINK https://www.e-tar.lt/portal/lt/legalAct/TAR.E9E0D56BCC08 \t _blank">
        <w:r>
          <w:rPr>
            <w:color w:val="0000FF" w:themeColor="hyperlink"/>
            <w:u w:val="single"/>
          </w:rPr>
          <w:t>73-3358</w:t>
        </w:r>
      </w:fldSimple>
      <w:r>
        <w:rPr>
          <w:color w:val="000000"/>
        </w:rPr>
        <w:t xml:space="preserve">; 2010, Nr. </w:t>
      </w:r>
      <w:fldSimple w:instr="HYPERLINK https://www.e-tar.lt/portal/lt/legalAct/TAR.6B8F6681C334 \t _blank">
        <w:r>
          <w:rPr>
            <w:color w:val="0000FF" w:themeColor="hyperlink"/>
            <w:u w:val="single"/>
          </w:rPr>
          <w:t>63-3090</w:t>
        </w:r>
      </w:fldSimple>
      <w:r>
        <w:rPr>
          <w:color w:val="000000"/>
        </w:rPr>
        <w:t xml:space="preserve">; 2011, Nr. </w:t>
      </w:r>
      <w:fldSimple w:instr="HYPERLINK https://www.e-tar.lt/portal/lt/legalAct/TAR.9AB5064352E6 \t _blank">
        <w:r>
          <w:rPr>
            <w:color w:val="0000FF" w:themeColor="hyperlink"/>
            <w:u w:val="single"/>
          </w:rPr>
          <w:t>57-2705</w:t>
        </w:r>
      </w:fldSimple>
      <w:r>
        <w:rPr>
          <w:color w:val="000000"/>
        </w:rPr>
        <w:t xml:space="preserve">; 2012, Nr. </w:t>
      </w:r>
      <w:fldSimple w:instr="HYPERLINK https://www.e-tar.lt/portal/lt/legalAct/TAR.643A98ED3547 \t _blank">
        <w:r>
          <w:rPr>
            <w:color w:val="0000FF" w:themeColor="hyperlink"/>
            <w:u w:val="single"/>
          </w:rPr>
          <w:t>69-3523</w:t>
        </w:r>
      </w:fldSimple>
      <w:r>
        <w:rPr>
          <w:color w:val="000000"/>
        </w:rPr>
        <w:t>)</w:t>
      </w:r>
    </w:p>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29 straipsnio 2 dalies pakeitimas</w:t>
      </w:r>
    </w:p>
    <w:p>
      <w:pPr>
        <w:widowControl w:val="0"/>
        <w:suppressAutoHyphens/>
        <w:ind w:firstLine="567"/>
        <w:jc w:val="both"/>
        <w:rPr>
          <w:color w:val="000000"/>
          <w:spacing w:val="-4"/>
        </w:rPr>
      </w:pPr>
      <w:r>
        <w:rPr>
          <w:color w:val="000000"/>
          <w:spacing w:val="-4"/>
        </w:rPr>
        <w:t>29 straipsnio 2 dalyje vietoj žodžių „Operatyvinės veiklos“ įrašyti žodžius „Kriminalinės žvalgybos“ ir šią dalį išdėstyti taip:</w:t>
      </w:r>
    </w:p>
    <w:p>
      <w:pPr>
        <w:widowControl w:val="0"/>
        <w:suppressAutoHyphens/>
        <w:ind w:firstLine="567"/>
        <w:jc w:val="both"/>
        <w:rPr>
          <w:color w:val="000000"/>
        </w:rPr>
      </w:pPr>
      <w:r>
        <w:rPr>
          <w:color w:val="000000"/>
        </w:rPr>
        <w:t>„</w:t>
      </w:r>
      <w:r>
        <w:rPr>
          <w:color w:val="000000"/>
        </w:rPr>
        <w:t>2</w:t>
      </w:r>
      <w:r>
        <w:rPr>
          <w:color w:val="000000"/>
        </w:rPr>
        <w:t>.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Kriminalinės žvalgybos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2013 m. sausio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1065</Characters>
  <Application>Microsoft Office Word</Application>
  <DocSecurity>4</DocSecurity>
  <Lines>30</Lines>
  <Paragraphs>13</Paragraphs>
  <ScaleCrop>false</ScaleCrop>
  <Company/>
  <LinksUpToDate>false</LinksUpToDate>
  <CharactersWithSpaces>1214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2015-06-29T22:06:00Z</dcterms:created>
  <dc:creator>Rima</dc:creator>
  <lastModifiedBy>Adlib User</lastModifiedBy>
  <dcterms:modified xsi:type="dcterms:W3CDTF">2015-06-29T22:06:00Z</dcterms:modified>
  <revision>2</revision>
  <dc:title>LIETUVOS RESPUBLIKOS VALSTYBĖS TARNYBOS ĮSTATYMO 29 STRAIPSNIO PAKEITIMO ĮSTATYMAS</dc:title>
</coreProperties>
</file>