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9C610" w14:textId="77777777" w:rsidR="00D06E56" w:rsidRDefault="000B0212">
      <w:pPr>
        <w:widowControl w:val="0"/>
        <w:jc w:val="center"/>
        <w:rPr>
          <w:color w:val="000000"/>
        </w:rPr>
      </w:pPr>
      <w:r>
        <w:rPr>
          <w:color w:val="000000"/>
          <w:lang w:val="en-US"/>
        </w:rPr>
        <w:pict w14:anchorId="3619C66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POLICIJOS GENERALINIO KOMISARO</w:t>
      </w:r>
    </w:p>
    <w:p w14:paraId="3619C611" w14:textId="77777777" w:rsidR="00D06E56" w:rsidRDefault="000B0212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619C612" w14:textId="77777777" w:rsidR="00D06E56" w:rsidRDefault="00D06E56">
      <w:pPr>
        <w:widowControl w:val="0"/>
        <w:ind w:firstLine="567"/>
        <w:jc w:val="both"/>
        <w:rPr>
          <w:color w:val="000000"/>
        </w:rPr>
      </w:pPr>
    </w:p>
    <w:p w14:paraId="3619C613" w14:textId="77777777" w:rsidR="00D06E56" w:rsidRDefault="000B0212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POLICIJOS GENERALINIO KOMISARO 2003 M. BIRŽELIO </w:t>
      </w:r>
      <w:r>
        <w:rPr>
          <w:b/>
          <w:bCs/>
          <w:caps/>
          <w:color w:val="000000"/>
        </w:rPr>
        <w:br/>
        <w:t>23 D. ĮSAKYMO Nr. V-362 „DĖL FIZINIŲ ASMENŲ GINKLŲ IR ŠAUDMENŲ CIVILINĖS APYVARTOS IR JOS KONTROLĖS TA</w:t>
      </w:r>
      <w:r>
        <w:rPr>
          <w:b/>
          <w:bCs/>
          <w:caps/>
          <w:color w:val="000000"/>
        </w:rPr>
        <w:t>ISYKLIŲ PATVIRTINIMO“ PAKEITIMO</w:t>
      </w:r>
    </w:p>
    <w:p w14:paraId="3619C614" w14:textId="77777777" w:rsidR="00D06E56" w:rsidRDefault="00D06E56">
      <w:pPr>
        <w:widowControl w:val="0"/>
        <w:ind w:firstLine="567"/>
        <w:jc w:val="both"/>
        <w:rPr>
          <w:color w:val="000000"/>
        </w:rPr>
      </w:pPr>
    </w:p>
    <w:p w14:paraId="3619C615" w14:textId="77777777" w:rsidR="00D06E56" w:rsidRDefault="000B0212">
      <w:pPr>
        <w:widowControl w:val="0"/>
        <w:jc w:val="center"/>
        <w:rPr>
          <w:color w:val="000000"/>
        </w:rPr>
      </w:pPr>
      <w:r>
        <w:rPr>
          <w:color w:val="000000"/>
        </w:rPr>
        <w:t>2012 m. rugsėjo 28 d. Nr. 5-V-654</w:t>
      </w:r>
    </w:p>
    <w:p w14:paraId="3619C616" w14:textId="77777777" w:rsidR="00D06E56" w:rsidRDefault="000B0212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3619C617" w14:textId="77777777" w:rsidR="00D06E56" w:rsidRDefault="00D06E56">
      <w:pPr>
        <w:widowControl w:val="0"/>
        <w:ind w:firstLine="567"/>
        <w:jc w:val="both"/>
        <w:rPr>
          <w:color w:val="000000"/>
        </w:rPr>
      </w:pPr>
    </w:p>
    <w:p w14:paraId="3619C618" w14:textId="77777777" w:rsidR="00D06E56" w:rsidRDefault="000B021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Siekdamas tinkamai reglamentuoti ginklų apyvartos tvarką:</w:t>
      </w:r>
    </w:p>
    <w:p w14:paraId="3619C619" w14:textId="77777777" w:rsidR="00D06E56" w:rsidRDefault="000B021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Fizinių asmenų ginklų ir šaudmenų civilinės apyvartos ir jos kontrolės taisyklių, patvirtintų Lietu</w:t>
      </w:r>
      <w:r>
        <w:rPr>
          <w:color w:val="000000"/>
        </w:rPr>
        <w:t xml:space="preserve">vos policijos generalinio komisaro 2003 m. birželio 23 d. įsakymu Nr. V-362 „Dėl Fizinių asmenų ginklų ir šaudmenų civilinės apyvartos ir jos kontrolės taisyklių patvirtinimo“ (Žin., 2003, Nr. </w:t>
      </w:r>
      <w:hyperlink r:id="rId10" w:tgtFrame="_blank" w:history="1">
        <w:r>
          <w:rPr>
            <w:color w:val="0000FF" w:themeColor="hyperlink"/>
            <w:u w:val="single"/>
          </w:rPr>
          <w:t>63-2875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28-1365</w:t>
        </w:r>
      </w:hyperlink>
      <w:r>
        <w:rPr>
          <w:color w:val="000000"/>
        </w:rPr>
        <w:t xml:space="preserve">; 2012, Nr. </w:t>
      </w:r>
      <w:hyperlink r:id="rId12" w:tgtFrame="_blank" w:history="1">
        <w:r>
          <w:rPr>
            <w:color w:val="0000FF" w:themeColor="hyperlink"/>
            <w:u w:val="single"/>
          </w:rPr>
          <w:t>90-4718</w:t>
        </w:r>
      </w:hyperlink>
      <w:r>
        <w:rPr>
          <w:color w:val="000000"/>
        </w:rPr>
        <w:t>), 7 priedą ir išdėstau jį nauja reda</w:t>
      </w:r>
      <w:r>
        <w:rPr>
          <w:color w:val="000000"/>
        </w:rPr>
        <w:t>kcija (pridedama).</w:t>
      </w:r>
    </w:p>
    <w:p w14:paraId="3619C61A" w14:textId="77777777" w:rsidR="00D06E56" w:rsidRDefault="000B021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šis įsakymas įsigalioja nuo 2012 m. spalio 1 d.</w:t>
      </w:r>
    </w:p>
    <w:p w14:paraId="3619C61B" w14:textId="77777777" w:rsidR="00D06E56" w:rsidRDefault="00D06E56">
      <w:pPr>
        <w:widowControl w:val="0"/>
        <w:ind w:firstLine="567"/>
        <w:jc w:val="both"/>
        <w:rPr>
          <w:color w:val="000000"/>
        </w:rPr>
      </w:pPr>
    </w:p>
    <w:p w14:paraId="3619C61C" w14:textId="77777777" w:rsidR="00D06E56" w:rsidRDefault="000B0212">
      <w:pPr>
        <w:widowControl w:val="0"/>
        <w:tabs>
          <w:tab w:val="right" w:pos="9071"/>
        </w:tabs>
        <w:rPr>
          <w:caps/>
          <w:color w:val="000000"/>
        </w:rPr>
      </w:pPr>
    </w:p>
    <w:p w14:paraId="3619C61D" w14:textId="4C579A87" w:rsidR="00D06E56" w:rsidRDefault="000B0212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Policijos generalinis komisaras</w:t>
      </w:r>
      <w:r>
        <w:rPr>
          <w:caps/>
          <w:color w:val="000000"/>
        </w:rPr>
        <w:tab/>
        <w:t>Saulius Skvernelis</w:t>
      </w:r>
    </w:p>
    <w:p w14:paraId="3619C620" w14:textId="69E59061" w:rsidR="00D06E56" w:rsidRDefault="000B0212">
      <w:pPr>
        <w:widowControl w:val="0"/>
      </w:pPr>
    </w:p>
    <w:p w14:paraId="3619C621" w14:textId="77777777" w:rsidR="00D06E56" w:rsidRDefault="000B0212">
      <w:pPr>
        <w:widowControl w:val="0"/>
        <w:ind w:left="4535"/>
      </w:pPr>
      <w:r>
        <w:br w:type="page"/>
      </w:r>
      <w:r>
        <w:lastRenderedPageBreak/>
        <w:t xml:space="preserve">Fizinių asmenų ginklų ir šaudmenų </w:t>
      </w:r>
    </w:p>
    <w:p w14:paraId="3619C622" w14:textId="77777777" w:rsidR="00D06E56" w:rsidRDefault="000B0212">
      <w:pPr>
        <w:widowControl w:val="0"/>
        <w:ind w:left="4535"/>
      </w:pPr>
      <w:r>
        <w:t>civilinės apyvartos ir jos kontrolės taisykl</w:t>
      </w:r>
      <w:r>
        <w:t xml:space="preserve">ių </w:t>
      </w:r>
    </w:p>
    <w:p w14:paraId="3619C623" w14:textId="77777777" w:rsidR="00D06E56" w:rsidRDefault="000B0212">
      <w:pPr>
        <w:widowControl w:val="0"/>
        <w:ind w:left="4535"/>
      </w:pPr>
      <w:r>
        <w:t>7</w:t>
      </w:r>
      <w:r>
        <w:t xml:space="preserve"> priedas</w:t>
      </w:r>
    </w:p>
    <w:p w14:paraId="3619C624" w14:textId="77777777" w:rsidR="00D06E56" w:rsidRDefault="00D06E56">
      <w:pPr>
        <w:widowControl w:val="0"/>
        <w:ind w:left="4535"/>
      </w:pPr>
    </w:p>
    <w:p w14:paraId="3619C625" w14:textId="77777777" w:rsidR="00D06E56" w:rsidRDefault="000B0212">
      <w:pPr>
        <w:widowControl w:val="0"/>
        <w:overflowPunct w:val="0"/>
        <w:jc w:val="center"/>
        <w:textAlignment w:val="baseline"/>
        <w:rPr>
          <w:b/>
        </w:rPr>
      </w:pPr>
      <w:r>
        <w:rPr>
          <w:b/>
        </w:rPr>
        <w:t>(Pažymos dėl ginklų laikymo sąlygų atitikties nustatytiems reikalavimams forma)</w:t>
      </w:r>
    </w:p>
    <w:p w14:paraId="3619C626" w14:textId="77777777" w:rsidR="00D06E56" w:rsidRDefault="00D06E56">
      <w:pPr>
        <w:widowControl w:val="0"/>
        <w:ind w:left="4535"/>
      </w:pPr>
    </w:p>
    <w:p w14:paraId="3619C627" w14:textId="54AC1373" w:rsidR="00D06E56" w:rsidRDefault="000B0212">
      <w:pPr>
        <w:widowControl w:val="0"/>
        <w:tabs>
          <w:tab w:val="left" w:leader="underscore" w:pos="8901"/>
        </w:tabs>
        <w:jc w:val="center"/>
      </w:pPr>
      <w:r>
        <w:tab/>
      </w:r>
    </w:p>
    <w:p w14:paraId="3619C628" w14:textId="77777777" w:rsidR="00D06E56" w:rsidRDefault="000B0212">
      <w:pPr>
        <w:widowControl w:val="0"/>
        <w:jc w:val="center"/>
      </w:pPr>
      <w:r>
        <w:t>(teritorinės policijos įstaigos pavadinimas)</w:t>
      </w:r>
    </w:p>
    <w:p w14:paraId="3619C629" w14:textId="77777777" w:rsidR="00D06E56" w:rsidRDefault="00D06E56">
      <w:pPr>
        <w:widowControl w:val="0"/>
        <w:jc w:val="center"/>
      </w:pPr>
    </w:p>
    <w:p w14:paraId="3619C62A" w14:textId="1C2864B4" w:rsidR="00D06E56" w:rsidRDefault="000B0212">
      <w:pPr>
        <w:widowControl w:val="0"/>
        <w:overflowPunct w:val="0"/>
        <w:jc w:val="center"/>
        <w:textAlignment w:val="baseline"/>
        <w:rPr>
          <w:b/>
          <w:caps/>
        </w:rPr>
      </w:pPr>
      <w:r>
        <w:rPr>
          <w:b/>
        </w:rPr>
        <w:t>PAŽYMA</w:t>
      </w:r>
    </w:p>
    <w:p w14:paraId="3619C62B" w14:textId="77777777" w:rsidR="00D06E56" w:rsidRDefault="00D06E56">
      <w:pPr>
        <w:widowControl w:val="0"/>
        <w:overflowPunct w:val="0"/>
        <w:jc w:val="center"/>
        <w:textAlignment w:val="baseline"/>
        <w:rPr>
          <w:b/>
        </w:rPr>
      </w:pPr>
    </w:p>
    <w:p w14:paraId="3619C62C" w14:textId="77777777" w:rsidR="00D06E56" w:rsidRDefault="000B0212">
      <w:pPr>
        <w:widowControl w:val="0"/>
        <w:overflowPunct w:val="0"/>
        <w:jc w:val="center"/>
        <w:textAlignment w:val="baseline"/>
      </w:pPr>
      <w:r>
        <w:t>201__ m. _______ d.  Nr. __________</w:t>
      </w:r>
    </w:p>
    <w:p w14:paraId="3619C62D" w14:textId="77777777" w:rsidR="00D06E56" w:rsidRDefault="00D06E56">
      <w:pPr>
        <w:widowControl w:val="0"/>
        <w:overflowPunct w:val="0"/>
        <w:jc w:val="center"/>
        <w:textAlignment w:val="baseline"/>
      </w:pPr>
    </w:p>
    <w:p w14:paraId="3619C62E" w14:textId="77777777" w:rsidR="00D06E56" w:rsidRDefault="000B0212">
      <w:pPr>
        <w:widowControl w:val="0"/>
        <w:overflowPunct w:val="0"/>
        <w:jc w:val="center"/>
        <w:textAlignment w:val="baseline"/>
      </w:pPr>
      <w:r>
        <w:t>________________</w:t>
      </w:r>
    </w:p>
    <w:p w14:paraId="3619C62F" w14:textId="77777777" w:rsidR="00D06E56" w:rsidRDefault="000B0212">
      <w:pPr>
        <w:widowControl w:val="0"/>
        <w:overflowPunct w:val="0"/>
        <w:jc w:val="center"/>
        <w:textAlignment w:val="baseline"/>
      </w:pPr>
      <w:r>
        <w:t>(vieta)</w:t>
      </w:r>
    </w:p>
    <w:p w14:paraId="3619C630" w14:textId="77777777" w:rsidR="00D06E56" w:rsidRDefault="00D06E56">
      <w:pPr>
        <w:widowControl w:val="0"/>
        <w:overflowPunct w:val="0"/>
        <w:textAlignment w:val="baseline"/>
      </w:pPr>
    </w:p>
    <w:p w14:paraId="3619C631" w14:textId="77777777" w:rsidR="00D06E56" w:rsidRDefault="000B0212" w:rsidP="000B0212">
      <w:pPr>
        <w:widowControl w:val="0"/>
        <w:tabs>
          <w:tab w:val="right" w:leader="underscore" w:pos="9072"/>
        </w:tabs>
        <w:overflowPunct w:val="0"/>
        <w:ind w:firstLine="567"/>
        <w:jc w:val="both"/>
        <w:textAlignment w:val="baseline"/>
      </w:pPr>
      <w:r>
        <w:t xml:space="preserve">Š. m. ____________ d. buvo </w:t>
      </w:r>
      <w:r>
        <w:t>tikrinama, ar</w:t>
      </w:r>
      <w:r>
        <w:tab/>
      </w:r>
    </w:p>
    <w:p w14:paraId="3619C632" w14:textId="77777777" w:rsidR="00D06E56" w:rsidRDefault="000B0212">
      <w:pPr>
        <w:widowControl w:val="0"/>
        <w:tabs>
          <w:tab w:val="left" w:pos="392"/>
          <w:tab w:val="left" w:pos="1496"/>
          <w:tab w:val="left" w:pos="4162"/>
          <w:tab w:val="left" w:pos="6520"/>
          <w:tab w:val="left" w:pos="9889"/>
        </w:tabs>
        <w:overflowPunct w:val="0"/>
        <w:ind w:left="4200"/>
        <w:jc w:val="center"/>
        <w:textAlignment w:val="baseline"/>
        <w:rPr>
          <w:b/>
        </w:rPr>
      </w:pPr>
      <w:r>
        <w:t>(vardas, pavardė)</w:t>
      </w:r>
    </w:p>
    <w:p w14:paraId="3619C633" w14:textId="77777777" w:rsidR="00D06E56" w:rsidRDefault="000B0212">
      <w:pPr>
        <w:widowControl w:val="0"/>
        <w:tabs>
          <w:tab w:val="right" w:leader="underscore" w:pos="9072"/>
        </w:tabs>
        <w:overflowPunct w:val="0"/>
        <w:textAlignment w:val="baseline"/>
      </w:pPr>
      <w:r>
        <w:t>_________________, gyvenančio</w:t>
      </w:r>
      <w:r>
        <w:tab/>
        <w:t>,</w:t>
      </w:r>
    </w:p>
    <w:p w14:paraId="3619C634" w14:textId="77777777" w:rsidR="00D06E56" w:rsidRDefault="000B0212">
      <w:pPr>
        <w:widowControl w:val="0"/>
        <w:tabs>
          <w:tab w:val="left" w:pos="392"/>
          <w:tab w:val="left" w:pos="1496"/>
          <w:tab w:val="left" w:pos="4162"/>
          <w:tab w:val="left" w:pos="6520"/>
          <w:tab w:val="left" w:pos="9889"/>
        </w:tabs>
        <w:overflowPunct w:val="0"/>
        <w:ind w:left="4200"/>
        <w:jc w:val="center"/>
        <w:textAlignment w:val="baseline"/>
      </w:pPr>
      <w:r>
        <w:t>(gyvenamoji vieta)</w:t>
      </w:r>
    </w:p>
    <w:p w14:paraId="3619C635" w14:textId="77777777" w:rsidR="00D06E56" w:rsidRDefault="000B0212">
      <w:pPr>
        <w:widowControl w:val="0"/>
        <w:overflowPunct w:val="0"/>
        <w:jc w:val="both"/>
        <w:textAlignment w:val="baseline"/>
      </w:pPr>
      <w:r>
        <w:t>turimų šaunamųjų ginklų laikymo sąlygos atitinka nustatytus reikalavimus.</w:t>
      </w:r>
    </w:p>
    <w:p w14:paraId="3619C636" w14:textId="77777777" w:rsidR="00D06E56" w:rsidRDefault="000B0212">
      <w:pPr>
        <w:widowControl w:val="0"/>
        <w:tabs>
          <w:tab w:val="right" w:leader="underscore" w:pos="9072"/>
        </w:tabs>
        <w:overflowPunct w:val="0"/>
        <w:ind w:firstLine="567"/>
        <w:jc w:val="both"/>
        <w:textAlignment w:val="baseline"/>
      </w:pPr>
      <w:r>
        <w:t xml:space="preserve">Patikrinimo metu nustatyta, kad </w:t>
      </w:r>
      <w:r>
        <w:tab/>
        <w:t xml:space="preserve"> ginklas (-ai), </w:t>
      </w:r>
    </w:p>
    <w:p w14:paraId="3619C637" w14:textId="77777777" w:rsidR="00D06E56" w:rsidRDefault="000B0212">
      <w:pPr>
        <w:widowControl w:val="0"/>
        <w:tabs>
          <w:tab w:val="right" w:leader="underscore" w:pos="9072"/>
        </w:tabs>
        <w:overflowPunct w:val="0"/>
        <w:ind w:left="2640"/>
        <w:jc w:val="center"/>
        <w:textAlignment w:val="baseline"/>
      </w:pPr>
      <w:r>
        <w:t>(kiekis)</w:t>
      </w:r>
    </w:p>
    <w:p w14:paraId="3619C638" w14:textId="77777777" w:rsidR="00D06E56" w:rsidRDefault="000B0212">
      <w:pPr>
        <w:widowControl w:val="0"/>
        <w:tabs>
          <w:tab w:val="right" w:leader="underscore" w:pos="9072"/>
        </w:tabs>
        <w:overflowPunct w:val="0"/>
        <w:jc w:val="both"/>
        <w:textAlignment w:val="baseline"/>
      </w:pPr>
      <w:r>
        <w:t xml:space="preserve">atitinkantis (-ys) B kategoriją ar Ginklų ir šaudmenų kontrolės įstatymo 5 straipsnio 1–4 punktuose nurodytą C kategoriją, laikomas (-i): </w:t>
      </w:r>
    </w:p>
    <w:p w14:paraId="3619C639" w14:textId="77777777" w:rsidR="00D06E56" w:rsidRDefault="00D06E56">
      <w:pPr>
        <w:widowControl w:val="0"/>
        <w:tabs>
          <w:tab w:val="right" w:leader="underscore" w:pos="9072"/>
        </w:tabs>
        <w:jc w:val="both"/>
        <w:rPr>
          <w:vanish/>
        </w:rPr>
      </w:pPr>
    </w:p>
    <w:p w14:paraId="3619C63A" w14:textId="6175AD69" w:rsidR="00D06E56" w:rsidRDefault="000B0212">
      <w:pPr>
        <w:widowControl w:val="0"/>
        <w:tabs>
          <w:tab w:val="right" w:leader="underscore" w:pos="9072"/>
        </w:tabs>
        <w:ind w:firstLine="567"/>
        <w:jc w:val="both"/>
      </w:pPr>
      <w:r>
        <w:t>1</w:t>
      </w:r>
      <w:r>
        <w:t xml:space="preserve">. Metalinėje spintoje (seife), kurios: </w:t>
      </w:r>
      <w:r>
        <w:tab/>
      </w:r>
    </w:p>
    <w:p w14:paraId="3619C63B" w14:textId="77777777" w:rsidR="00D06E56" w:rsidRDefault="000B0212">
      <w:pPr>
        <w:widowControl w:val="0"/>
        <w:tabs>
          <w:tab w:val="right" w:leader="underscore" w:pos="9072"/>
        </w:tabs>
        <w:ind w:left="4200"/>
        <w:jc w:val="center"/>
        <w:rPr>
          <w:bCs/>
        </w:rPr>
      </w:pPr>
      <w:r>
        <w:rPr>
          <w:bCs/>
        </w:rPr>
        <w:t xml:space="preserve">(nurodomas sienelių storis (mm), spynų skaičius ir tipas arba atitiktis </w:t>
      </w:r>
      <w:r>
        <w:rPr>
          <w:bCs/>
        </w:rPr>
        <w:t>standartui EN 1143-1 ar  EN 14450;</w:t>
      </w:r>
    </w:p>
    <w:p w14:paraId="3619C63C" w14:textId="77777777" w:rsidR="00D06E56" w:rsidRDefault="000B0212">
      <w:pPr>
        <w:widowControl w:val="0"/>
        <w:tabs>
          <w:tab w:val="right" w:leader="underscore" w:pos="9072"/>
        </w:tabs>
        <w:jc w:val="both"/>
      </w:pPr>
      <w:r>
        <w:t>_</w:t>
      </w:r>
      <w:r>
        <w:tab/>
      </w:r>
    </w:p>
    <w:p w14:paraId="3619C63D" w14:textId="64F33644" w:rsidR="00D06E56" w:rsidRDefault="000B0212">
      <w:pPr>
        <w:widowControl w:val="0"/>
        <w:tabs>
          <w:tab w:val="right" w:leader="underscore" w:pos="9072"/>
        </w:tabs>
        <w:jc w:val="center"/>
      </w:pPr>
      <w:r>
        <w:rPr>
          <w:bCs/>
        </w:rPr>
        <w:t>tvirtinimo būdas (jei nepritvirtinta – svoris), kokius ginklus galima laikyti (trumpuosius ir (ar) ilguosius), taip pat kitos reikšmingos aplinkybės)</w:t>
      </w:r>
    </w:p>
    <w:p w14:paraId="3619C63E" w14:textId="15E9842A" w:rsidR="00D06E56" w:rsidRDefault="000B0212">
      <w:pPr>
        <w:widowControl w:val="0"/>
        <w:tabs>
          <w:tab w:val="right" w:leader="underscore" w:pos="9072"/>
        </w:tabs>
        <w:ind w:firstLine="567"/>
        <w:jc w:val="both"/>
      </w:pPr>
      <w:r>
        <w:t>2</w:t>
      </w:r>
      <w:r>
        <w:t xml:space="preserve">. Atskiroje patalpoje, kurios: </w:t>
      </w:r>
      <w:r>
        <w:tab/>
      </w:r>
    </w:p>
    <w:p w14:paraId="3619C63F" w14:textId="77777777" w:rsidR="00D06E56" w:rsidRDefault="000B0212">
      <w:pPr>
        <w:widowControl w:val="0"/>
        <w:tabs>
          <w:tab w:val="right" w:leader="underscore" w:pos="9072"/>
        </w:tabs>
        <w:ind w:left="3600"/>
        <w:jc w:val="center"/>
        <w:rPr>
          <w:bCs/>
        </w:rPr>
      </w:pPr>
      <w:r>
        <w:rPr>
          <w:bCs/>
        </w:rPr>
        <w:t>(nurodomas sienų ir perdengimų</w:t>
      </w:r>
      <w:r>
        <w:rPr>
          <w:bCs/>
        </w:rPr>
        <w:t xml:space="preserve"> storis ir tipas; durų tipas, spynų skaičius ir tipas)</w:t>
      </w:r>
    </w:p>
    <w:p w14:paraId="3619C640" w14:textId="77777777" w:rsidR="00D06E56" w:rsidRDefault="000B0212">
      <w:pPr>
        <w:widowControl w:val="0"/>
        <w:tabs>
          <w:tab w:val="right" w:leader="underscore" w:pos="9072"/>
        </w:tabs>
        <w:jc w:val="both"/>
        <w:rPr>
          <w:bCs/>
        </w:rPr>
      </w:pPr>
      <w:r>
        <w:rPr>
          <w:bCs/>
        </w:rPr>
        <w:t>_</w:t>
      </w:r>
      <w:r>
        <w:rPr>
          <w:bCs/>
        </w:rPr>
        <w:tab/>
      </w:r>
    </w:p>
    <w:p w14:paraId="3619C641" w14:textId="77777777" w:rsidR="00D06E56" w:rsidRDefault="00D06E56">
      <w:pPr>
        <w:widowControl w:val="0"/>
        <w:tabs>
          <w:tab w:val="right" w:leader="underscore" w:pos="9072"/>
        </w:tabs>
        <w:overflowPunct w:val="0"/>
        <w:jc w:val="both"/>
        <w:textAlignment w:val="baseline"/>
      </w:pPr>
    </w:p>
    <w:p w14:paraId="3619C642" w14:textId="77777777" w:rsidR="00D06E56" w:rsidRDefault="000B0212">
      <w:pPr>
        <w:widowControl w:val="0"/>
        <w:tabs>
          <w:tab w:val="right" w:leader="underscore" w:pos="9072"/>
        </w:tabs>
        <w:overflowPunct w:val="0"/>
        <w:ind w:firstLine="567"/>
        <w:jc w:val="both"/>
        <w:textAlignment w:val="baseline"/>
      </w:pPr>
      <w:r>
        <w:t xml:space="preserve">Patalpoje </w:t>
      </w:r>
      <w:r>
        <w:tab/>
      </w:r>
    </w:p>
    <w:p w14:paraId="3619C643" w14:textId="77777777" w:rsidR="00D06E56" w:rsidRDefault="000B0212">
      <w:pPr>
        <w:widowControl w:val="0"/>
        <w:tabs>
          <w:tab w:val="right" w:leader="underscore" w:pos="9072"/>
        </w:tabs>
        <w:overflowPunct w:val="0"/>
        <w:ind w:left="1560"/>
        <w:jc w:val="center"/>
        <w:textAlignment w:val="baseline"/>
      </w:pPr>
      <w:r>
        <w:t>(nurodoma, įrengta arba neįrengta apsaugos sistema ar apsauginė signalizacija. Jei įrengta, paaiškinama, ar tik toje patalpoje, kurioje laikomi ginklai, ar ir kitose</w:t>
      </w:r>
    </w:p>
    <w:p w14:paraId="3619C644" w14:textId="77777777" w:rsidR="00D06E56" w:rsidRDefault="000B0212">
      <w:pPr>
        <w:widowControl w:val="0"/>
        <w:tabs>
          <w:tab w:val="right" w:leader="underscore" w:pos="9072"/>
        </w:tabs>
        <w:overflowPunct w:val="0"/>
        <w:jc w:val="both"/>
        <w:textAlignment w:val="baseline"/>
      </w:pPr>
      <w:r>
        <w:t>_</w:t>
      </w:r>
      <w:r>
        <w:tab/>
        <w:t>.</w:t>
      </w:r>
    </w:p>
    <w:p w14:paraId="3619C645" w14:textId="77777777" w:rsidR="00D06E56" w:rsidRDefault="000B0212">
      <w:pPr>
        <w:widowControl w:val="0"/>
        <w:tabs>
          <w:tab w:val="right" w:leader="underscore" w:pos="9072"/>
        </w:tabs>
        <w:overflowPunct w:val="0"/>
        <w:jc w:val="both"/>
        <w:textAlignment w:val="baseline"/>
      </w:pPr>
      <w:r>
        <w:t>patalpose, ar į</w:t>
      </w:r>
      <w:r>
        <w:t xml:space="preserve"> signalizacijos suveikimus reaguoja ginkluota apsauga)</w:t>
      </w:r>
    </w:p>
    <w:p w14:paraId="3619C646" w14:textId="77777777" w:rsidR="00D06E56" w:rsidRDefault="00D06E56">
      <w:pPr>
        <w:widowControl w:val="0"/>
        <w:tabs>
          <w:tab w:val="right" w:leader="underscore" w:pos="9072"/>
        </w:tabs>
        <w:overflowPunct w:val="0"/>
        <w:jc w:val="both"/>
        <w:textAlignment w:val="baseline"/>
      </w:pPr>
    </w:p>
    <w:p w14:paraId="3619C647" w14:textId="77777777" w:rsidR="00D06E56" w:rsidRDefault="000B0212">
      <w:pPr>
        <w:widowControl w:val="0"/>
        <w:tabs>
          <w:tab w:val="right" w:leader="underscore" w:pos="9072"/>
        </w:tabs>
        <w:overflowPunct w:val="0"/>
        <w:ind w:firstLine="567"/>
        <w:jc w:val="both"/>
        <w:textAlignment w:val="baseline"/>
      </w:pPr>
      <w:r>
        <w:t>Perregistruojant leidimą laikyti (nešiotis) ginklus, į policijos įstaigą privaloma pristatyti šį ginklą:</w:t>
      </w:r>
      <w:r>
        <w:tab/>
        <w:t xml:space="preserve">, </w:t>
      </w:r>
    </w:p>
    <w:p w14:paraId="3619C648" w14:textId="77777777" w:rsidR="00D06E56" w:rsidRDefault="000B0212">
      <w:pPr>
        <w:widowControl w:val="0"/>
        <w:tabs>
          <w:tab w:val="right" w:leader="underscore" w:pos="9072"/>
        </w:tabs>
        <w:overflowPunct w:val="0"/>
        <w:jc w:val="center"/>
        <w:textAlignment w:val="baseline"/>
      </w:pPr>
      <w:r>
        <w:t>(ginklo modelis, numeris, kalibras, kategorija)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1428"/>
        <w:gridCol w:w="7642"/>
      </w:tblGrid>
      <w:tr w:rsidR="00D06E56" w14:paraId="3619C64C" w14:textId="77777777">
        <w:tc>
          <w:tcPr>
            <w:tcW w:w="1428" w:type="dxa"/>
          </w:tcPr>
          <w:p w14:paraId="3619C649" w14:textId="77777777" w:rsidR="00D06E56" w:rsidRDefault="000B0212">
            <w:pPr>
              <w:widowControl w:val="0"/>
              <w:overflowPunct w:val="0"/>
              <w:textAlignment w:val="baseline"/>
            </w:pPr>
            <w:r>
              <w:t>nes</w:t>
            </w:r>
          </w:p>
        </w:tc>
        <w:tc>
          <w:tcPr>
            <w:tcW w:w="7642" w:type="dxa"/>
          </w:tcPr>
          <w:p w14:paraId="3619C64A" w14:textId="77777777" w:rsidR="00D06E56" w:rsidRDefault="000B0212">
            <w:pPr>
              <w:widowControl w:val="0"/>
              <w:overflowPunct w:val="0"/>
              <w:textAlignment w:val="baseline"/>
            </w:pP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kyla įtarimų dėl ginklo tinkamumo na</w:t>
            </w:r>
            <w:r>
              <w:t>udoti</w:t>
            </w:r>
          </w:p>
          <w:p w14:paraId="3619C64B" w14:textId="77777777" w:rsidR="00D06E56" w:rsidRDefault="000B0212">
            <w:pPr>
              <w:widowControl w:val="0"/>
              <w:overflowPunct w:val="0"/>
              <w:textAlignment w:val="baseline"/>
            </w:pP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nustatyta neatitikimų tarp ginklo ir leidimo laikyti (nešiotis) ginklus duomenų</w:t>
            </w:r>
          </w:p>
        </w:tc>
      </w:tr>
    </w:tbl>
    <w:p w14:paraId="3619C64D" w14:textId="77777777" w:rsidR="00D06E56" w:rsidRDefault="00D06E56">
      <w:pPr>
        <w:widowControl w:val="0"/>
        <w:tabs>
          <w:tab w:val="right" w:leader="underscore" w:pos="9072"/>
        </w:tabs>
        <w:jc w:val="both"/>
        <w:rPr>
          <w:b/>
          <w:bCs/>
          <w:caps/>
          <w:vanish/>
        </w:rPr>
      </w:pPr>
    </w:p>
    <w:p w14:paraId="3619C64E" w14:textId="77777777" w:rsidR="00D06E56" w:rsidRDefault="000B0212" w:rsidP="000B0212">
      <w:pPr>
        <w:widowControl w:val="0"/>
        <w:tabs>
          <w:tab w:val="right" w:leader="underscore" w:pos="9072"/>
        </w:tabs>
        <w:overflowPunct w:val="0"/>
        <w:ind w:firstLine="567"/>
        <w:jc w:val="both"/>
        <w:textAlignment w:val="baseline"/>
      </w:pPr>
      <w:r>
        <w:lastRenderedPageBreak/>
        <w:t>Jei į policijos įstaigą reikia pristatyti daugiau ginklų, jie surašomi kitoje pažymos pusėje.</w:t>
      </w:r>
    </w:p>
    <w:p w14:paraId="3619C64F" w14:textId="77777777" w:rsidR="00D06E56" w:rsidRDefault="00D06E56">
      <w:pPr>
        <w:widowControl w:val="0"/>
        <w:tabs>
          <w:tab w:val="right" w:leader="underscore" w:pos="9072"/>
        </w:tabs>
        <w:overflowPunct w:val="0"/>
        <w:jc w:val="both"/>
        <w:textAlignment w:val="baseline"/>
      </w:pPr>
    </w:p>
    <w:p w14:paraId="3619C650" w14:textId="77777777" w:rsidR="00D06E56" w:rsidRDefault="000B0212">
      <w:pPr>
        <w:widowControl w:val="0"/>
        <w:tabs>
          <w:tab w:val="right" w:leader="underscore" w:pos="9072"/>
        </w:tabs>
        <w:overflowPunct w:val="0"/>
        <w:ind w:firstLine="567"/>
        <w:jc w:val="both"/>
        <w:textAlignment w:val="baseline"/>
      </w:pPr>
      <w:r>
        <w:t>Atsižvelgdamas į tai, kas išdėstyta, konstatuoju, kad ginklo (ginklų)</w:t>
      </w:r>
      <w:r>
        <w:t xml:space="preserve"> laikymo sąlygos atitinka Reikalavimus, keliamus patalpoms, kuriose vykdoma ginklų, šaudmenų, jų dalių apyvarta, patvirtintus Lietuvos policijos generalinio komisaro 2011 m. kovo 3 d. įsakymu Nr. 5-V-180.</w:t>
      </w:r>
    </w:p>
    <w:p w14:paraId="3619C651" w14:textId="77777777" w:rsidR="00D06E56" w:rsidRDefault="00D06E56">
      <w:pPr>
        <w:widowControl w:val="0"/>
        <w:tabs>
          <w:tab w:val="right" w:leader="underscore" w:pos="9072"/>
        </w:tabs>
        <w:overflowPunct w:val="0"/>
        <w:jc w:val="both"/>
        <w:textAlignment w:val="baseline"/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2628"/>
        <w:gridCol w:w="1963"/>
        <w:gridCol w:w="4479"/>
      </w:tblGrid>
      <w:tr w:rsidR="00D06E56" w14:paraId="3619C658" w14:textId="77777777">
        <w:tc>
          <w:tcPr>
            <w:tcW w:w="2628" w:type="dxa"/>
          </w:tcPr>
          <w:p w14:paraId="3619C652" w14:textId="77777777" w:rsidR="00D06E56" w:rsidRDefault="000B0212">
            <w:pPr>
              <w:widowControl w:val="0"/>
              <w:overflowPunct w:val="0"/>
              <w:textAlignment w:val="baseline"/>
            </w:pPr>
            <w:r>
              <w:t>__________</w:t>
            </w:r>
          </w:p>
          <w:p w14:paraId="3619C653" w14:textId="77777777" w:rsidR="00D06E56" w:rsidRDefault="000B0212">
            <w:pPr>
              <w:widowControl w:val="0"/>
              <w:overflowPunct w:val="0"/>
              <w:textAlignment w:val="baseline"/>
              <w:rPr>
                <w:bCs/>
              </w:rPr>
            </w:pPr>
            <w:r>
              <w:t>(pareigos)</w:t>
            </w:r>
          </w:p>
        </w:tc>
        <w:tc>
          <w:tcPr>
            <w:tcW w:w="1963" w:type="dxa"/>
          </w:tcPr>
          <w:p w14:paraId="3619C654" w14:textId="77777777" w:rsidR="00D06E56" w:rsidRDefault="000B0212">
            <w:pPr>
              <w:widowControl w:val="0"/>
              <w:overflowPunct w:val="0"/>
              <w:jc w:val="center"/>
              <w:textAlignment w:val="baseline"/>
            </w:pPr>
            <w:r>
              <w:t>_________</w:t>
            </w:r>
          </w:p>
          <w:p w14:paraId="3619C655" w14:textId="77777777" w:rsidR="00D06E56" w:rsidRDefault="000B0212">
            <w:pPr>
              <w:widowControl w:val="0"/>
              <w:overflowPunct w:val="0"/>
              <w:jc w:val="center"/>
              <w:textAlignment w:val="baseline"/>
              <w:rPr>
                <w:bCs/>
              </w:rPr>
            </w:pPr>
            <w:r>
              <w:t>(parašas)</w:t>
            </w:r>
          </w:p>
        </w:tc>
        <w:tc>
          <w:tcPr>
            <w:tcW w:w="4479" w:type="dxa"/>
          </w:tcPr>
          <w:p w14:paraId="3619C656" w14:textId="77777777" w:rsidR="00D06E56" w:rsidRDefault="000B0212">
            <w:pPr>
              <w:widowControl w:val="0"/>
              <w:overflowPunct w:val="0"/>
              <w:jc w:val="right"/>
              <w:textAlignment w:val="baseline"/>
            </w:pPr>
            <w:r>
              <w:t>___________________</w:t>
            </w:r>
          </w:p>
          <w:p w14:paraId="3619C657" w14:textId="77777777" w:rsidR="00D06E56" w:rsidRDefault="000B0212">
            <w:pPr>
              <w:widowControl w:val="0"/>
              <w:overflowPunct w:val="0"/>
              <w:jc w:val="right"/>
              <w:textAlignment w:val="baseline"/>
              <w:rPr>
                <w:b/>
              </w:rPr>
            </w:pPr>
            <w:r>
              <w:t>(vardo raidė, pavardė)</w:t>
            </w:r>
          </w:p>
        </w:tc>
      </w:tr>
    </w:tbl>
    <w:p w14:paraId="3619C659" w14:textId="3F14CDCF" w:rsidR="00D06E56" w:rsidRDefault="00D06E56">
      <w:pPr>
        <w:widowControl w:val="0"/>
        <w:tabs>
          <w:tab w:val="left" w:pos="709"/>
        </w:tabs>
        <w:overflowPunct w:val="0"/>
        <w:ind w:firstLine="567"/>
        <w:jc w:val="both"/>
        <w:textAlignment w:val="baseline"/>
        <w:rPr>
          <w:b/>
        </w:rPr>
      </w:pPr>
    </w:p>
    <w:p w14:paraId="3619C65A" w14:textId="77777777" w:rsidR="00D06E56" w:rsidRDefault="000B0212">
      <w:pPr>
        <w:widowControl w:val="0"/>
        <w:tabs>
          <w:tab w:val="left" w:pos="709"/>
        </w:tabs>
        <w:overflowPunct w:val="0"/>
        <w:ind w:firstLine="567"/>
        <w:jc w:val="both"/>
        <w:textAlignment w:val="baseline"/>
        <w:rPr>
          <w:b/>
        </w:rPr>
      </w:pPr>
      <w:r>
        <w:rPr>
          <w:b/>
        </w:rPr>
        <w:t xml:space="preserve">Pastabos: </w:t>
      </w:r>
    </w:p>
    <w:p w14:paraId="3619C65B" w14:textId="77777777" w:rsidR="00D06E56" w:rsidRDefault="000B0212">
      <w:pPr>
        <w:widowControl w:val="0"/>
        <w:tabs>
          <w:tab w:val="left" w:pos="709"/>
        </w:tabs>
        <w:overflowPunct w:val="0"/>
        <w:ind w:firstLine="567"/>
        <w:jc w:val="both"/>
        <w:textAlignment w:val="baseline"/>
      </w:pPr>
      <w:r>
        <w:t>1</w:t>
      </w:r>
      <w:r>
        <w:t>. Jei patikrinimo metu įtariama, kad pakeistas ar sunaikintas ginklo, spynos ar vamzdžio numeris, ginklai nustatyta tvarka paimami nedelsiant.</w:t>
      </w:r>
    </w:p>
    <w:p w14:paraId="3619C65C" w14:textId="77777777" w:rsidR="00D06E56" w:rsidRDefault="000B0212">
      <w:pPr>
        <w:widowControl w:val="0"/>
        <w:tabs>
          <w:tab w:val="left" w:pos="709"/>
        </w:tabs>
        <w:overflowPunct w:val="0"/>
        <w:ind w:firstLine="567"/>
        <w:jc w:val="both"/>
        <w:textAlignment w:val="baseline"/>
      </w:pPr>
      <w:r>
        <w:t>2</w:t>
      </w:r>
      <w:r>
        <w:t>. Vartojamos sąvokos:</w:t>
      </w:r>
    </w:p>
    <w:p w14:paraId="3619C65D" w14:textId="77777777" w:rsidR="00D06E56" w:rsidRDefault="000B0212">
      <w:pPr>
        <w:widowControl w:val="0"/>
        <w:tabs>
          <w:tab w:val="left" w:pos="709"/>
        </w:tabs>
        <w:overflowPunct w:val="0"/>
        <w:ind w:firstLine="567"/>
        <w:jc w:val="both"/>
        <w:textAlignment w:val="baseline"/>
      </w:pPr>
      <w:r>
        <w:rPr>
          <w:b/>
        </w:rPr>
        <w:t>Apsauginė signalizaci</w:t>
      </w:r>
      <w:r>
        <w:rPr>
          <w:b/>
        </w:rPr>
        <w:t>ja</w:t>
      </w:r>
      <w:r>
        <w:t xml:space="preserve"> – visuma tarpusavyje sujungtų prietaisų, registruojančių bandymą įsibrauti, įsibrovimą, užpuolimą ar gaisrą ir pranešančių apie šiuos įvykius. Apsauginė signalizacija privalo turėti atsarginį elektros maitinimo šaltinį, kuris, nutrūkus elektros srovės t</w:t>
      </w:r>
      <w:r>
        <w:t>iekimui, užtikrintų jos nepertraukiamą veikimą ne trumpiau kaip 24 valandas. Signalizacija turi būti įjungta į centralizuoto ar vietinio stebėjimo pultą.</w:t>
      </w:r>
    </w:p>
    <w:p w14:paraId="3619C65E" w14:textId="77777777" w:rsidR="00D06E56" w:rsidRDefault="000B0212">
      <w:pPr>
        <w:widowControl w:val="0"/>
        <w:tabs>
          <w:tab w:val="left" w:pos="709"/>
        </w:tabs>
        <w:overflowPunct w:val="0"/>
        <w:ind w:firstLine="567"/>
        <w:jc w:val="both"/>
        <w:textAlignment w:val="baseline"/>
      </w:pPr>
      <w:r>
        <w:rPr>
          <w:b/>
        </w:rPr>
        <w:t>Centralizuoto stebėjimo pultas</w:t>
      </w:r>
      <w:r>
        <w:t xml:space="preserve"> – prietaisas, priimantis saugomų objektų apsaugos pultų pranešimus laid</w:t>
      </w:r>
      <w:r>
        <w:t>inėmis ir belaidėmis ryšio linijomis. Į gautą signalą nedelsdami reaguoja apsaugą vykdančios tarnybos ginkluoti darbuotojai.</w:t>
      </w:r>
    </w:p>
    <w:p w14:paraId="3619C65F" w14:textId="77777777" w:rsidR="00D06E56" w:rsidRDefault="000B0212">
      <w:pPr>
        <w:widowControl w:val="0"/>
        <w:tabs>
          <w:tab w:val="left" w:pos="709"/>
        </w:tabs>
        <w:overflowPunct w:val="0"/>
        <w:ind w:firstLine="567"/>
        <w:jc w:val="both"/>
        <w:textAlignment w:val="baseline"/>
      </w:pPr>
      <w:r>
        <w:rPr>
          <w:b/>
        </w:rPr>
        <w:t>Apsaugos sistema</w:t>
      </w:r>
      <w:r>
        <w:t xml:space="preserve"> – visuma tarpusavyje sujungtų prietaisų, kitų signalizacijos priemonių, kurios automatiškai nustato ir fiksuoja įs</w:t>
      </w:r>
      <w:r>
        <w:t>ilaužimą bei turi garso signalizatorius. Apsaugos sistema privalo turėti atsarginį elektros maitinimo šaltinį, kuris, nutrūkus elektros srovės tiekimui, užtikrintų jos nenutrūkstamą veikimą ne trumpiau kaip 24 valandas. Į apsaugos sistemos suveikimus apsau</w:t>
      </w:r>
      <w:r>
        <w:t>gos darbuotojai nereaguoja.</w:t>
      </w:r>
    </w:p>
    <w:p w14:paraId="3619C660" w14:textId="77777777" w:rsidR="00D06E56" w:rsidRDefault="000B0212">
      <w:pPr>
        <w:widowControl w:val="0"/>
        <w:ind w:firstLine="567"/>
        <w:jc w:val="both"/>
      </w:pPr>
    </w:p>
    <w:p w14:paraId="3619C661" w14:textId="77777777" w:rsidR="00D06E56" w:rsidRDefault="000B0212">
      <w:pPr>
        <w:widowControl w:val="0"/>
        <w:jc w:val="center"/>
      </w:pPr>
      <w:r>
        <w:t>_________________</w:t>
      </w:r>
    </w:p>
    <w:p w14:paraId="3619C662" w14:textId="77777777" w:rsidR="00D06E56" w:rsidRDefault="000B0212"/>
    <w:bookmarkStart w:id="0" w:name="_GoBack" w:displacedByCustomXml="prev"/>
    <w:bookmarkEnd w:id="0" w:displacedByCustomXml="prev"/>
    <w:sectPr w:rsidR="00D06E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9C666" w14:textId="77777777" w:rsidR="00D06E56" w:rsidRDefault="000B0212">
      <w:r>
        <w:separator/>
      </w:r>
    </w:p>
  </w:endnote>
  <w:endnote w:type="continuationSeparator" w:id="0">
    <w:p w14:paraId="3619C667" w14:textId="77777777" w:rsidR="00D06E56" w:rsidRDefault="000B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C66A" w14:textId="77777777" w:rsidR="00D06E56" w:rsidRDefault="00D06E56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C66B" w14:textId="77777777" w:rsidR="00D06E56" w:rsidRDefault="00D06E56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C66D" w14:textId="77777777" w:rsidR="00D06E56" w:rsidRDefault="00D06E5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9C664" w14:textId="77777777" w:rsidR="00D06E56" w:rsidRDefault="000B0212">
      <w:r>
        <w:separator/>
      </w:r>
    </w:p>
  </w:footnote>
  <w:footnote w:type="continuationSeparator" w:id="0">
    <w:p w14:paraId="3619C665" w14:textId="77777777" w:rsidR="00D06E56" w:rsidRDefault="000B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C668" w14:textId="77777777" w:rsidR="00D06E56" w:rsidRDefault="00D06E5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C669" w14:textId="77777777" w:rsidR="00D06E56" w:rsidRDefault="00D06E5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C66C" w14:textId="77777777" w:rsidR="00D06E56" w:rsidRDefault="00D06E5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8"/>
    <w:rsid w:val="000B0212"/>
    <w:rsid w:val="001E25B8"/>
    <w:rsid w:val="00D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9C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02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0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8EC7EAEAECC"/>
  <Relationship Id="rId11" Type="http://schemas.openxmlformats.org/officeDocument/2006/relationships/hyperlink" TargetMode="External" Target="https://www.e-tar.lt/portal/lt/legalAct/TAR.ACFB16710102"/>
  <Relationship Id="rId12" Type="http://schemas.openxmlformats.org/officeDocument/2006/relationships/hyperlink" TargetMode="External" Target="https://www.e-tar.lt/portal/lt/legalAct/TAR.844050B1BC0A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0"/>
    <w:rsid w:val="004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23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B23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2892</Words>
  <Characters>1650</Characters>
  <Application>Microsoft Office Word</Application>
  <DocSecurity>0</DocSecurity>
  <Lines>13</Lines>
  <Paragraphs>9</Paragraphs>
  <ScaleCrop>false</ScaleCrop>
  <Company/>
  <LinksUpToDate>false</LinksUpToDate>
  <CharactersWithSpaces>4533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2015-08-30T23:59:00Z</dcterms:created>
  <dc:creator>Rima</dc:creator>
  <lastModifiedBy>BOREIŠIS Marius</lastModifiedBy>
  <dcterms:modified xsi:type="dcterms:W3CDTF">2016-02-10T12:32:00Z</dcterms:modified>
  <revision>3</revision>
  <dc:title>LIETUVOS POLICIJOS GENERALINIO KOMISARO</dc:title>
</coreProperties>
</file>