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FD15" w14:textId="77777777" w:rsidR="006454BC" w:rsidRDefault="004F3F7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KAINŲ IR ENERGETIKOS KONTROLĖS KOMISIJOS</w:t>
      </w:r>
    </w:p>
    <w:p w14:paraId="345CFD16" w14:textId="77777777" w:rsidR="006454BC" w:rsidRDefault="004F3F7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 U T A R I M A S</w:t>
      </w:r>
    </w:p>
    <w:p w14:paraId="345CFD17" w14:textId="77777777" w:rsidR="006454BC" w:rsidRDefault="006454BC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</w:p>
    <w:p w14:paraId="345CFD18" w14:textId="77777777" w:rsidR="006454BC" w:rsidRDefault="004F3F7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valstybinės kainų ir energetikos kontrolės komisijos 2011 m. liepos 29 d. nutarimo nr. o3-233 „Dėl elektros energijos, pagamintos naudojant atsinaujinančius energijos išteklius, </w:t>
      </w:r>
      <w:r>
        <w:rPr>
          <w:b/>
          <w:bCs/>
          <w:caps/>
          <w:color w:val="000000"/>
          <w:szCs w:val="24"/>
          <w:lang w:eastAsia="lt-LT"/>
        </w:rPr>
        <w:t>tarifų nustatymo metodikos patvirtinimo“ pakeitimo</w:t>
      </w:r>
    </w:p>
    <w:p w14:paraId="345CFD19" w14:textId="77777777" w:rsidR="006454BC" w:rsidRDefault="006454BC">
      <w:pPr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</w:p>
    <w:p w14:paraId="345CFD1A" w14:textId="77777777" w:rsidR="006454BC" w:rsidRDefault="004F3F7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gegužės 14 d. Nr. O3-167</w:t>
      </w:r>
    </w:p>
    <w:p w14:paraId="345CFD1B" w14:textId="77777777" w:rsidR="006454BC" w:rsidRDefault="004F3F7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45CFD1C" w14:textId="77777777" w:rsidR="006454BC" w:rsidRDefault="006454B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5CFD1D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Lietuvos Respublikos energetikos įstatymo 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 xml:space="preserve">., 2002,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56-2224</w:t>
        </w:r>
      </w:hyperlink>
      <w:r>
        <w:rPr>
          <w:color w:val="000000"/>
          <w:szCs w:val="24"/>
          <w:lang w:eastAsia="lt-LT"/>
        </w:rPr>
        <w:t>; 2</w:t>
      </w:r>
      <w:r>
        <w:rPr>
          <w:color w:val="000000"/>
          <w:szCs w:val="24"/>
          <w:lang w:eastAsia="lt-LT"/>
        </w:rPr>
        <w:t xml:space="preserve">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160-7576</w:t>
        </w:r>
      </w:hyperlink>
      <w:r>
        <w:rPr>
          <w:color w:val="000000"/>
          <w:szCs w:val="24"/>
          <w:lang w:eastAsia="lt-LT"/>
        </w:rPr>
        <w:t>) 8 straipsnio 9 dalies 2 punktu, Lietuvos Respublikos atsinaujinančių išteklių energetikos įstatymo 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 xml:space="preserve">., 2011,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62-2936</w:t>
        </w:r>
      </w:hyperlink>
      <w:r>
        <w:rPr>
          <w:color w:val="000000"/>
          <w:szCs w:val="24"/>
          <w:lang w:eastAsia="lt-LT"/>
        </w:rPr>
        <w:t xml:space="preserve">; 2013,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12-560</w:t>
        </w:r>
      </w:hyperlink>
      <w:r>
        <w:rPr>
          <w:color w:val="000000"/>
          <w:szCs w:val="24"/>
          <w:lang w:eastAsia="lt-LT"/>
        </w:rPr>
        <w:t>) 11 straipsnio 1 punktu, 20 straipsnio 3 ir 4 dalimis bei atsižvelgdama į Valstybinės kainų ir energetikos kontrol</w:t>
      </w:r>
      <w:r>
        <w:rPr>
          <w:color w:val="000000"/>
          <w:szCs w:val="24"/>
          <w:lang w:eastAsia="lt-LT"/>
        </w:rPr>
        <w:t>ės komisijos (toliau – Komisija) Dujų ir elektros departamento Atsinaujinančių išteklių skyriaus 2013 m. gegužės 7 d. pažymą Nr. O5-146 „Dėl Valstybinės kainų ir energetikos kontrolės komisijos 2011 m. liepos 29 d. nutarimo Nr. O3-233 „Dėl Elektros energij</w:t>
      </w:r>
      <w:r>
        <w:rPr>
          <w:color w:val="000000"/>
          <w:szCs w:val="24"/>
          <w:lang w:eastAsia="lt-LT"/>
        </w:rPr>
        <w:t>os, pagamintos naudojant atsinaujinančius energijos išteklius, tarifų nustatymo metodikos patvirtinimo“ pakeitimo“, Komisija n u t a r i a:</w:t>
      </w:r>
    </w:p>
    <w:p w14:paraId="345CFD1E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Elektros energijos, pagamintos naudojant atsinaujinančius energijos išteklius, tarifų nustatymo metodiką,</w:t>
      </w:r>
      <w:r>
        <w:rPr>
          <w:color w:val="000000"/>
          <w:szCs w:val="24"/>
          <w:lang w:eastAsia="lt-LT"/>
        </w:rPr>
        <w:t xml:space="preserve"> patvirtintą Komisijos 2011 m. liepos 29 d. nutarimu Nr. O3-233 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 xml:space="preserve">., 2011,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101-4776</w:t>
        </w:r>
      </w:hyperlink>
      <w:r>
        <w:rPr>
          <w:color w:val="000000"/>
          <w:szCs w:val="24"/>
          <w:lang w:eastAsia="lt-LT"/>
        </w:rPr>
        <w:t xml:space="preserve">; 2012,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15-685</w:t>
        </w:r>
      </w:hyperlink>
      <w:r>
        <w:rPr>
          <w:color w:val="000000"/>
          <w:szCs w:val="24"/>
          <w:lang w:eastAsia="lt-LT"/>
        </w:rPr>
        <w:t>,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Nr. 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72-3778</w:t>
        </w:r>
      </w:hyperlink>
      <w:r>
        <w:rPr>
          <w:color w:val="000000"/>
          <w:szCs w:val="24"/>
          <w:lang w:eastAsia="lt-LT"/>
        </w:rPr>
        <w:t xml:space="preserve">; 2013, Nr. </w:t>
      </w:r>
      <w:hyperlink r:id="rId13" w:tgtFrame="_blank" w:history="1">
        <w:r>
          <w:rPr>
            <w:color w:val="0000FF" w:themeColor="hyperlink"/>
            <w:szCs w:val="24"/>
            <w:u w:val="single"/>
            <w:lang w:eastAsia="lt-LT"/>
          </w:rPr>
          <w:t>21-1057</w:t>
        </w:r>
      </w:hyperlink>
      <w:r>
        <w:rPr>
          <w:color w:val="000000"/>
          <w:szCs w:val="24"/>
          <w:lang w:eastAsia="lt-LT"/>
        </w:rPr>
        <w:t>) (toliau – Metodika):</w:t>
      </w:r>
    </w:p>
    <w:p w14:paraId="345CFD1F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Metodikos 5 punkt</w:t>
      </w:r>
      <w:r>
        <w:rPr>
          <w:color w:val="000000"/>
          <w:szCs w:val="24"/>
          <w:lang w:eastAsia="lt-LT"/>
        </w:rPr>
        <w:t>ą nauja 10 pastraipa ir išdėstyti ją taip:</w:t>
      </w:r>
    </w:p>
    <w:p w14:paraId="345CFD20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„Rekonstruota (modernizuota) jėgainė </w:t>
      </w:r>
      <w:r>
        <w:rPr>
          <w:color w:val="000000"/>
          <w:szCs w:val="24"/>
          <w:lang w:eastAsia="lt-LT"/>
        </w:rPr>
        <w:t>– esamų įrenginių ir pastatų dalinis pakeitimas, pritaikant įrenginius gaminti elektros energiją naudojant biomasę“.</w:t>
      </w:r>
    </w:p>
    <w:p w14:paraId="345CFD21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Buvusias Metodikos 5 punkto 10 ir 11 pastraipas </w:t>
      </w:r>
      <w:r>
        <w:rPr>
          <w:color w:val="000000"/>
          <w:szCs w:val="24"/>
          <w:lang w:eastAsia="lt-LT"/>
        </w:rPr>
        <w:t>atitinkamai laikyti 11 ir 12 pastraipomis.</w:t>
      </w:r>
    </w:p>
    <w:p w14:paraId="345CFD22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Papildyti Metodikos 11 punktą 11.15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11.15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ir 11.15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punktais ir išdėstyti juos taip:</w:t>
      </w:r>
    </w:p>
    <w:p w14:paraId="345CFD23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. Perteklinės elektros energijos supirkimo tarifą elektros energijos jėgainėms, nurodytoms 10.4 punkte, kurio</w:t>
      </w:r>
      <w:r>
        <w:rPr>
          <w:color w:val="000000"/>
          <w:szCs w:val="24"/>
          <w:lang w:eastAsia="lt-LT"/>
        </w:rPr>
        <w:t>se elektros energijos gamybai naudojami rekonstruoti elektros energijos įrenginiai ir kurių įrengtoji galia yra ne didesnė kaip 10 kW;</w:t>
      </w:r>
    </w:p>
    <w:p w14:paraId="345CFD24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>. Maksimalų tarifą elektros energijos jėgainėms, nurodytoms 10.4 punkte, kuriose elektros energijos gamybai nau</w:t>
      </w:r>
      <w:r>
        <w:rPr>
          <w:color w:val="000000"/>
          <w:szCs w:val="24"/>
          <w:lang w:eastAsia="lt-LT"/>
        </w:rPr>
        <w:t>dojami rekonstruoti elektros energijos įrenginiai ir kurių įrengtoji galia yra didesnė nei 10 kW, bet ne didesnė kaip 5000 kW;</w:t>
      </w:r>
    </w:p>
    <w:p w14:paraId="345CFD25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>. Maksimalų tarifą elektros energijos jėgainėms, nurodytoms 10.4 punkte, kuriose elektros energijos gamybai naudojami r</w:t>
      </w:r>
      <w:r>
        <w:rPr>
          <w:color w:val="000000"/>
          <w:szCs w:val="24"/>
          <w:lang w:eastAsia="lt-LT"/>
        </w:rPr>
        <w:t>ekonstruoti elektros energijos įrenginiai ir kurių įrengtoji galia yra didesnė nei 5000 kW;“.</w:t>
      </w:r>
    </w:p>
    <w:p w14:paraId="345CFD26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Papildyti Metodikos 13.3 punktą </w:t>
      </w: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r</w:t>
      </w:r>
      <w:proofErr w:type="spellEnd"/>
      <w:r>
        <w:rPr>
          <w:color w:val="000000"/>
          <w:szCs w:val="24"/>
          <w:lang w:eastAsia="lt-LT"/>
        </w:rPr>
        <w:t xml:space="preserve"> koeficientu, parodančiu investuotino kapitalo apimtį elektros energijos jėgainei įsteigti, ir išdėstyti jį taip:</w:t>
      </w:r>
    </w:p>
    <w:p w14:paraId="345CFD27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.3</w:t>
      </w:r>
      <w:r>
        <w:rPr>
          <w:color w:val="000000"/>
          <w:szCs w:val="24"/>
          <w:lang w:eastAsia="lt-LT"/>
        </w:rPr>
        <w:t>. pagal formulę:</w:t>
      </w:r>
    </w:p>
    <w:p w14:paraId="345CFD28" w14:textId="77777777" w:rsidR="006454BC" w:rsidRDefault="006454B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5CFD29" w14:textId="77777777" w:rsidR="006454BC" w:rsidRDefault="004F3F7F">
      <w:pPr>
        <w:widowControl w:val="0"/>
        <w:tabs>
          <w:tab w:val="right" w:pos="9072"/>
        </w:tabs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noProof/>
          <w:position w:val="-12"/>
          <w:szCs w:val="24"/>
          <w:lang w:eastAsia="lt-LT"/>
        </w:rPr>
        <w:drawing>
          <wp:inline distT="0" distB="0" distL="0" distR="0" wp14:anchorId="345CFD49" wp14:editId="345CFD4A">
            <wp:extent cx="14001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  <w:lang w:eastAsia="lt-LT"/>
        </w:rPr>
        <w:t xml:space="preserve"> </w:t>
      </w:r>
      <w:r>
        <w:rPr>
          <w:vanish/>
          <w:color w:val="000000"/>
          <w:szCs w:val="24"/>
          <w:lang w:eastAsia="lt-LT"/>
        </w:rPr>
        <w:t>K</w:t>
      </w:r>
      <w:r>
        <w:rPr>
          <w:vanish/>
          <w:color w:val="000000"/>
          <w:szCs w:val="24"/>
          <w:lang w:val="en-US" w:eastAsia="lt-LT"/>
        </w:rPr>
        <w:t>=</w:t>
      </w:r>
      <w:proofErr w:type="spellStart"/>
      <w:r>
        <w:rPr>
          <w:vanish/>
          <w:color w:val="000000"/>
          <w:szCs w:val="24"/>
          <w:lang w:val="en-US" w:eastAsia="lt-LT"/>
        </w:rPr>
        <w:t>k</w:t>
      </w:r>
      <w:r>
        <w:rPr>
          <w:vanish/>
          <w:color w:val="000000"/>
          <w:szCs w:val="24"/>
          <w:vertAlign w:val="subscript"/>
          <w:lang w:val="en-US" w:eastAsia="lt-LT"/>
        </w:rPr>
        <w:t>r</w:t>
      </w:r>
      <w:proofErr w:type="spellEnd"/>
      <w:r>
        <w:rPr>
          <w:vanish/>
          <w:color w:val="000000"/>
          <w:szCs w:val="24"/>
          <w:lang w:val="en-US" w:eastAsia="lt-LT"/>
        </w:rPr>
        <w:t xml:space="preserve"> • (</w:t>
      </w:r>
      <w:bookmarkStart w:id="0" w:name="_GoBack"/>
      <w:proofErr w:type="spellStart"/>
      <w:r>
        <w:rPr>
          <w:vanish/>
          <w:color w:val="000000"/>
          <w:szCs w:val="24"/>
          <w:lang w:val="en-US" w:eastAsia="lt-LT"/>
        </w:rPr>
        <w:t>k</w:t>
      </w:r>
      <w:r>
        <w:rPr>
          <w:vanish/>
          <w:color w:val="000000"/>
          <w:szCs w:val="24"/>
          <w:vertAlign w:val="subscript"/>
          <w:lang w:val="en-US" w:eastAsia="lt-LT"/>
        </w:rPr>
        <w:t>bc</w:t>
      </w:r>
      <w:proofErr w:type="spellEnd"/>
      <w:r>
        <w:rPr>
          <w:vanish/>
          <w:color w:val="000000"/>
          <w:szCs w:val="24"/>
          <w:lang w:val="en-US" w:eastAsia="lt-LT"/>
        </w:rPr>
        <w:t xml:space="preserve"> </w:t>
      </w:r>
      <w:bookmarkEnd w:id="0"/>
      <w:r>
        <w:rPr>
          <w:vanish/>
          <w:color w:val="000000"/>
          <w:szCs w:val="24"/>
          <w:lang w:val="en-US" w:eastAsia="lt-LT"/>
        </w:rPr>
        <w:t>• K</w:t>
      </w:r>
      <w:r>
        <w:rPr>
          <w:vanish/>
          <w:color w:val="000000"/>
          <w:szCs w:val="24"/>
          <w:vertAlign w:val="subscript"/>
          <w:lang w:val="en-US" w:eastAsia="lt-LT"/>
        </w:rPr>
        <w:t>I</w:t>
      </w:r>
      <w:r>
        <w:rPr>
          <w:vanish/>
          <w:color w:val="000000"/>
          <w:szCs w:val="24"/>
          <w:lang w:val="en-US" w:eastAsia="lt-LT"/>
        </w:rPr>
        <w:t>) + K</w:t>
      </w:r>
      <w:r>
        <w:rPr>
          <w:vanish/>
          <w:color w:val="000000"/>
          <w:szCs w:val="24"/>
          <w:vertAlign w:val="subscript"/>
          <w:lang w:val="en-US" w:eastAsia="lt-LT"/>
        </w:rPr>
        <w:t>A</w:t>
      </w:r>
      <w:r>
        <w:rPr>
          <w:vanish/>
          <w:color w:val="000000"/>
          <w:szCs w:val="24"/>
          <w:lang w:val="en-US" w:eastAsia="lt-LT"/>
        </w:rPr>
        <w:t xml:space="preserve"> </w:t>
      </w:r>
      <w:r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ab/>
        <w:t>(2)</w:t>
      </w:r>
    </w:p>
    <w:p w14:paraId="345CFD2A" w14:textId="77777777" w:rsidR="006454BC" w:rsidRDefault="006454B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5CFD2B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kur:</w:t>
      </w:r>
    </w:p>
    <w:p w14:paraId="345CFD2C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 – investuotino kapitalo apimtis elektros energijos jėgainei įsteigti, Lt;</w:t>
      </w:r>
    </w:p>
    <w:p w14:paraId="345CFD2D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I</w:t>
      </w:r>
      <w:r>
        <w:rPr>
          <w:color w:val="000000"/>
          <w:szCs w:val="24"/>
          <w:lang w:eastAsia="lt-LT"/>
        </w:rPr>
        <w:t xml:space="preserve"> – investuotino kapitalo apimtis elektros energijos jėgainės gamybos įrenginiams, Lt;</w:t>
      </w:r>
    </w:p>
    <w:p w14:paraId="345CFD2E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A</w:t>
      </w:r>
      <w:r>
        <w:rPr>
          <w:color w:val="000000"/>
          <w:szCs w:val="24"/>
          <w:lang w:eastAsia="lt-LT"/>
        </w:rPr>
        <w:t xml:space="preserve"> – investuotino kapitalo apimtis elektros energijos jėgainei prijungti prie operatoriaus tinklo, Lt;</w:t>
      </w:r>
    </w:p>
    <w:p w14:paraId="345CFD2F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bc</w:t>
      </w:r>
      <w:proofErr w:type="spellEnd"/>
      <w:r>
        <w:rPr>
          <w:color w:val="000000"/>
          <w:szCs w:val="24"/>
          <w:lang w:eastAsia="lt-LT"/>
        </w:rPr>
        <w:t xml:space="preserve"> – koeficientas, parodantis elektros energijos jėgainės galios elektros energijai gaminti ir bendros įrengtosios galios santykį. Laikoma, kad:</w:t>
      </w:r>
    </w:p>
    <w:p w14:paraId="345CFD30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lastRenderedPageBreak/>
        <w:t>k</w:t>
      </w:r>
      <w:r>
        <w:rPr>
          <w:color w:val="000000"/>
          <w:szCs w:val="24"/>
          <w:vertAlign w:val="subscript"/>
          <w:lang w:eastAsia="lt-LT"/>
        </w:rPr>
        <w:t>bc</w:t>
      </w:r>
      <w:proofErr w:type="spellEnd"/>
      <w:r>
        <w:rPr>
          <w:color w:val="000000"/>
          <w:szCs w:val="24"/>
          <w:lang w:eastAsia="lt-LT"/>
        </w:rPr>
        <w:t xml:space="preserve"> = 1, </w:t>
      </w:r>
      <w:r>
        <w:rPr>
          <w:color w:val="000000"/>
          <w:szCs w:val="24"/>
          <w:lang w:eastAsia="lt-LT"/>
        </w:rPr>
        <w:t>jei elektros energijos jėgainėje gaminama tik elektros energija, t. y. visa įrengtoji galia yra skirta elektros energijai gaminti;</w:t>
      </w:r>
    </w:p>
    <w:p w14:paraId="345CFD31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bc</w:t>
      </w:r>
      <w:proofErr w:type="spellEnd"/>
      <w:r>
        <w:rPr>
          <w:color w:val="000000"/>
          <w:szCs w:val="24"/>
          <w:vertAlign w:val="subscript"/>
          <w:lang w:eastAsia="lt-LT"/>
        </w:rPr>
        <w:t xml:space="preserve"> </w:t>
      </w:r>
      <w:r>
        <w:rPr>
          <w:color w:val="000000"/>
          <w:szCs w:val="24"/>
          <w:lang w:eastAsia="lt-LT"/>
        </w:rPr>
        <w:t>&lt; 1, jei kombinuotojo elektros energijos ir šilumos gamybos ciklo elektros energijos jėgainėje gaminama elektros energija</w:t>
      </w:r>
      <w:r>
        <w:rPr>
          <w:color w:val="000000"/>
          <w:szCs w:val="24"/>
          <w:lang w:eastAsia="lt-LT"/>
        </w:rPr>
        <w:t xml:space="preserve"> ir šilumos energija, t. y. dalis įrengtosios galios yra skirta šilumos energijai gaminti, ir šiuo atveju koeficientas nustatomas pagal alternatyvaus šilumos šaltinio principą;</w:t>
      </w:r>
    </w:p>
    <w:p w14:paraId="345CFD32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r</w:t>
      </w:r>
      <w:proofErr w:type="spellEnd"/>
      <w:r>
        <w:rPr>
          <w:color w:val="000000"/>
          <w:szCs w:val="24"/>
          <w:lang w:eastAsia="lt-LT"/>
        </w:rPr>
        <w:t xml:space="preserve"> – koeficientas, parodantis investuotino kapitalo apimtį elektros energijos j</w:t>
      </w:r>
      <w:r>
        <w:rPr>
          <w:color w:val="000000"/>
          <w:szCs w:val="24"/>
          <w:lang w:eastAsia="lt-LT"/>
        </w:rPr>
        <w:t>ėgainei įsteigti. Laikoma, kad:</w:t>
      </w:r>
    </w:p>
    <w:p w14:paraId="345CFD33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r</w:t>
      </w:r>
      <w:proofErr w:type="spellEnd"/>
      <w:r>
        <w:rPr>
          <w:color w:val="000000"/>
          <w:szCs w:val="24"/>
          <w:vertAlign w:val="subscript"/>
          <w:lang w:eastAsia="lt-LT"/>
        </w:rPr>
        <w:t xml:space="preserve"> </w:t>
      </w:r>
      <w:r>
        <w:rPr>
          <w:color w:val="000000"/>
          <w:szCs w:val="24"/>
          <w:lang w:eastAsia="lt-LT"/>
        </w:rPr>
        <w:t>= 0,6, jei steigiamos elektros energijos jėgainės, nurodytos 11.15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11.15</w:t>
      </w:r>
      <w:r>
        <w:rPr>
          <w:color w:val="000000"/>
          <w:szCs w:val="24"/>
          <w:vertAlign w:val="superscript"/>
          <w:lang w:eastAsia="lt-LT"/>
        </w:rPr>
        <w:t xml:space="preserve">2 </w:t>
      </w:r>
      <w:r>
        <w:rPr>
          <w:color w:val="000000"/>
          <w:szCs w:val="24"/>
          <w:lang w:eastAsia="lt-LT"/>
        </w:rPr>
        <w:t>ir 11.15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punktuose;</w:t>
      </w:r>
    </w:p>
    <w:p w14:paraId="345CFD34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r</w:t>
      </w:r>
      <w:proofErr w:type="spellEnd"/>
      <w:r>
        <w:rPr>
          <w:color w:val="000000"/>
          <w:szCs w:val="24"/>
          <w:lang w:eastAsia="lt-LT"/>
        </w:rPr>
        <w:t xml:space="preserve"> = 1, jei steigiama nauja elektros energijos jėgainė.“</w:t>
      </w:r>
    </w:p>
    <w:p w14:paraId="345CFD35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Papildyti Metodikos 16 punktą </w:t>
      </w: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c</w:t>
      </w:r>
      <w:proofErr w:type="spellEnd"/>
      <w:r>
        <w:rPr>
          <w:color w:val="000000"/>
          <w:szCs w:val="24"/>
          <w:lang w:eastAsia="lt-LT"/>
        </w:rPr>
        <w:t xml:space="preserve"> koeficientu, atskirianč</w:t>
      </w:r>
      <w:r>
        <w:rPr>
          <w:color w:val="000000"/>
          <w:szCs w:val="24"/>
          <w:lang w:eastAsia="lt-LT"/>
        </w:rPr>
        <w:t>iu operacinių sąnaudų ir sąnaudų, prilygintinų žaliavos (kuro) įsigijimo sąnaudoms, kiekius, tenkančius elektros energijos gamybai ir šilumos gamybai, ir išdėstyti jį taip:</w:t>
      </w:r>
    </w:p>
    <w:p w14:paraId="345CFD36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 xml:space="preserve">. Komisija nustato metinį elektros energijos jėgainės pinigų srautą skatinimo </w:t>
      </w:r>
      <w:r>
        <w:rPr>
          <w:color w:val="000000"/>
          <w:szCs w:val="24"/>
          <w:lang w:eastAsia="lt-LT"/>
        </w:rPr>
        <w:t>laikotarpiu, elektros energijos jėgainės laukiamas metines pajamas sumažinusi laukiamų metinių sąnaudų apimtimi, pagal formulę:</w:t>
      </w:r>
    </w:p>
    <w:p w14:paraId="345CFD37" w14:textId="77777777" w:rsidR="006454BC" w:rsidRDefault="006454B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5CFD38" w14:textId="77777777" w:rsidR="006454BC" w:rsidRDefault="004F3F7F">
      <w:pPr>
        <w:widowControl w:val="0"/>
        <w:tabs>
          <w:tab w:val="right" w:pos="9072"/>
        </w:tabs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345CFD4B" wp14:editId="345CFD4C">
            <wp:extent cx="172402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eastAsia="lt-LT"/>
        </w:rPr>
        <w:t xml:space="preserve"> </w:t>
      </w:r>
      <w:proofErr w:type="spellStart"/>
      <w:r>
        <w:rPr>
          <w:vanish/>
          <w:szCs w:val="24"/>
          <w:lang w:eastAsia="lt-LT"/>
        </w:rPr>
        <w:t>CF</w:t>
      </w:r>
      <w:r>
        <w:rPr>
          <w:vanish/>
          <w:szCs w:val="24"/>
          <w:vertAlign w:val="subscript"/>
          <w:lang w:eastAsia="lt-LT"/>
        </w:rPr>
        <w:t>i</w:t>
      </w:r>
      <w:proofErr w:type="spellEnd"/>
      <w:r>
        <w:rPr>
          <w:vanish/>
          <w:szCs w:val="24"/>
          <w:lang w:eastAsia="lt-LT"/>
        </w:rPr>
        <w:t xml:space="preserve"> = P</w:t>
      </w:r>
      <w:r>
        <w:rPr>
          <w:vanish/>
          <w:szCs w:val="24"/>
          <w:vertAlign w:val="subscript"/>
          <w:lang w:eastAsia="lt-LT"/>
        </w:rPr>
        <w:t>i</w:t>
      </w:r>
      <w:r>
        <w:rPr>
          <w:vanish/>
          <w:szCs w:val="24"/>
          <w:lang w:eastAsia="lt-LT"/>
        </w:rPr>
        <w:t xml:space="preserve"> – (S</w:t>
      </w:r>
      <w:r>
        <w:rPr>
          <w:vanish/>
          <w:szCs w:val="24"/>
          <w:vertAlign w:val="subscript"/>
          <w:lang w:eastAsia="lt-LT"/>
        </w:rPr>
        <w:t>i</w:t>
      </w:r>
      <w:r>
        <w:rPr>
          <w:vanish/>
          <w:color w:val="FF0000"/>
          <w:szCs w:val="24"/>
          <w:lang w:eastAsia="lt-LT"/>
        </w:rPr>
        <w:t xml:space="preserve"> </w:t>
      </w:r>
      <w:r>
        <w:rPr>
          <w:vanish/>
          <w:color w:val="000000"/>
          <w:szCs w:val="24"/>
          <w:lang w:val="en-US" w:eastAsia="lt-LT"/>
        </w:rPr>
        <w:t>• k</w:t>
      </w:r>
      <w:r>
        <w:rPr>
          <w:vanish/>
          <w:color w:val="000000"/>
          <w:szCs w:val="24"/>
          <w:vertAlign w:val="subscript"/>
          <w:lang w:val="en-US" w:eastAsia="lt-LT"/>
        </w:rPr>
        <w:t>c</w:t>
      </w:r>
      <w:r>
        <w:rPr>
          <w:vanish/>
          <w:color w:val="000000"/>
          <w:szCs w:val="24"/>
          <w:lang w:val="en-US" w:eastAsia="lt-LT"/>
        </w:rPr>
        <w:t>) – (</w:t>
      </w:r>
      <w:proofErr w:type="spellStart"/>
      <w:r>
        <w:rPr>
          <w:vanish/>
          <w:color w:val="000000"/>
          <w:szCs w:val="24"/>
          <w:lang w:val="en-US" w:eastAsia="lt-LT"/>
        </w:rPr>
        <w:t>Z</w:t>
      </w:r>
      <w:r>
        <w:rPr>
          <w:vanish/>
          <w:color w:val="000000"/>
          <w:szCs w:val="24"/>
          <w:vertAlign w:val="subscript"/>
          <w:lang w:val="en-US" w:eastAsia="lt-LT"/>
        </w:rPr>
        <w:t>i</w:t>
      </w:r>
      <w:proofErr w:type="spellEnd"/>
      <w:r>
        <w:rPr>
          <w:vanish/>
          <w:color w:val="000000"/>
          <w:szCs w:val="24"/>
          <w:lang w:val="en-US" w:eastAsia="lt-LT"/>
        </w:rPr>
        <w:t xml:space="preserve"> • k</w:t>
      </w:r>
      <w:r>
        <w:rPr>
          <w:vanish/>
          <w:color w:val="000000"/>
          <w:szCs w:val="24"/>
          <w:vertAlign w:val="subscript"/>
          <w:lang w:val="en-US" w:eastAsia="lt-LT"/>
        </w:rPr>
        <w:t>c</w:t>
      </w:r>
      <w:r>
        <w:rPr>
          <w:vanish/>
          <w:color w:val="000000"/>
          <w:szCs w:val="24"/>
          <w:lang w:val="en-US" w:eastAsia="lt-LT"/>
        </w:rPr>
        <w:t>)</w:t>
      </w:r>
      <w:r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ab/>
        <w:t>(5)</w:t>
      </w:r>
    </w:p>
    <w:p w14:paraId="345CFD39" w14:textId="77777777" w:rsidR="006454BC" w:rsidRDefault="006454B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45CFD3A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kur:</w:t>
      </w:r>
    </w:p>
    <w:p w14:paraId="345CFD3B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CF</w:t>
      </w:r>
      <w:r>
        <w:rPr>
          <w:color w:val="000000"/>
          <w:szCs w:val="24"/>
          <w:vertAlign w:val="subscript"/>
          <w:lang w:eastAsia="lt-LT"/>
        </w:rPr>
        <w:t>i</w:t>
      </w:r>
      <w:proofErr w:type="spellEnd"/>
      <w:r>
        <w:rPr>
          <w:color w:val="000000"/>
          <w:szCs w:val="24"/>
          <w:vertAlign w:val="subscript"/>
          <w:lang w:eastAsia="lt-LT"/>
        </w:rPr>
        <w:t xml:space="preserve"> </w:t>
      </w:r>
      <w:r>
        <w:rPr>
          <w:color w:val="000000"/>
          <w:szCs w:val="24"/>
          <w:lang w:eastAsia="lt-LT"/>
        </w:rPr>
        <w:t>– pinigų srautas skatinimo laikotarpio i-taisiais metais, Lt;</w:t>
      </w:r>
    </w:p>
    <w:p w14:paraId="345CFD3C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i – skatinimo </w:t>
      </w:r>
      <w:r>
        <w:rPr>
          <w:color w:val="000000"/>
          <w:szCs w:val="24"/>
          <w:lang w:eastAsia="lt-LT"/>
        </w:rPr>
        <w:t>laikotarpio t metai, i = (1,..., 12);</w:t>
      </w:r>
    </w:p>
    <w:p w14:paraId="345CFD3D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</w:t>
      </w:r>
      <w:r>
        <w:rPr>
          <w:color w:val="000000"/>
          <w:szCs w:val="24"/>
          <w:vertAlign w:val="subscript"/>
          <w:lang w:eastAsia="lt-LT"/>
        </w:rPr>
        <w:t>i</w:t>
      </w:r>
      <w:r>
        <w:rPr>
          <w:color w:val="000000"/>
          <w:szCs w:val="24"/>
          <w:lang w:eastAsia="lt-LT"/>
        </w:rPr>
        <w:t xml:space="preserve"> – laukiamų pajamų už patiektą elektros energijos kiekį suma skatinimo laikotarpio i-taisiais metais, Lt;</w:t>
      </w:r>
    </w:p>
    <w:p w14:paraId="345CFD3E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</w:t>
      </w:r>
      <w:r>
        <w:rPr>
          <w:color w:val="000000"/>
          <w:szCs w:val="24"/>
          <w:vertAlign w:val="subscript"/>
          <w:lang w:eastAsia="lt-LT"/>
        </w:rPr>
        <w:t>i</w:t>
      </w:r>
      <w:r>
        <w:rPr>
          <w:color w:val="000000"/>
          <w:szCs w:val="24"/>
          <w:lang w:eastAsia="lt-LT"/>
        </w:rPr>
        <w:t xml:space="preserve"> – laukiamų elektros energijos jėgainės operacinių sąnaudų suma skatinimo laikotarpio i-taisiais metais, Lt;</w:t>
      </w:r>
    </w:p>
    <w:p w14:paraId="345CFD3F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vertAlign w:val="subscript"/>
          <w:lang w:eastAsia="lt-LT"/>
        </w:rPr>
      </w:pPr>
      <w:proofErr w:type="spellStart"/>
      <w:r>
        <w:rPr>
          <w:color w:val="000000"/>
          <w:szCs w:val="24"/>
          <w:lang w:eastAsia="lt-LT"/>
        </w:rPr>
        <w:t>Z</w:t>
      </w:r>
      <w:r>
        <w:rPr>
          <w:color w:val="000000"/>
          <w:szCs w:val="24"/>
          <w:vertAlign w:val="subscript"/>
          <w:lang w:eastAsia="lt-LT"/>
        </w:rPr>
        <w:t>i</w:t>
      </w:r>
      <w:proofErr w:type="spellEnd"/>
      <w:r>
        <w:rPr>
          <w:color w:val="000000"/>
          <w:szCs w:val="24"/>
          <w:lang w:eastAsia="lt-LT"/>
        </w:rPr>
        <w:t xml:space="preserve"> – laukiamų elektros energijos jėgainės sąnaudų, prilygintinų žaliavos (kuro) įsigijimo sąnaudoms, suma skatinimo laikotarpio i-taisiais metais, Lt;</w:t>
      </w:r>
    </w:p>
    <w:p w14:paraId="345CFD40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k</w:t>
      </w:r>
      <w:r>
        <w:rPr>
          <w:color w:val="000000"/>
          <w:szCs w:val="24"/>
          <w:vertAlign w:val="subscript"/>
          <w:lang w:eastAsia="lt-LT"/>
        </w:rPr>
        <w:t>c</w:t>
      </w:r>
      <w:proofErr w:type="spellEnd"/>
      <w:r>
        <w:rPr>
          <w:color w:val="000000"/>
          <w:szCs w:val="24"/>
          <w:lang w:eastAsia="lt-LT"/>
        </w:rPr>
        <w:t xml:space="preserve"> – koeficientas, atskiriantis operacinių sąnaudų ir sąnaudų, prilygintų žaliavos (kuro) įsigijimo sąna</w:t>
      </w:r>
      <w:r>
        <w:rPr>
          <w:color w:val="000000"/>
          <w:szCs w:val="24"/>
          <w:lang w:eastAsia="lt-LT"/>
        </w:rPr>
        <w:t>udoms, kiekius, tenkančius elektros energijos gamybai ir šilumos energijos gamybai.“</w:t>
      </w:r>
    </w:p>
    <w:p w14:paraId="345CFD41" w14:textId="77777777" w:rsidR="006454BC" w:rsidRDefault="004F3F7F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Papildyti Metodikos 22.2 punktą 22.2.15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22.2.15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ir 22.2.15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punktais ir išdėstyti juos taip:</w:t>
      </w:r>
    </w:p>
    <w:p w14:paraId="345CFD42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22.2.15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. elektros energijos jėgainei, nurodytai 11.15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punkte, taikomas k</w:t>
      </w:r>
      <w:r>
        <w:rPr>
          <w:color w:val="000000"/>
          <w:szCs w:val="24"/>
          <w:vertAlign w:val="subscript"/>
          <w:lang w:eastAsia="lt-LT"/>
        </w:rPr>
        <w:t>g</w:t>
      </w:r>
      <w:r>
        <w:rPr>
          <w:color w:val="000000"/>
          <w:szCs w:val="24"/>
          <w:lang w:eastAsia="lt-LT"/>
        </w:rPr>
        <w:t xml:space="preserve"> koeficientas 1,30;</w:t>
      </w:r>
    </w:p>
    <w:p w14:paraId="345CFD43" w14:textId="77777777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22.2.15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>. elektros energijos jėgainei, nurodytai 11.15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punkte, taikomas k</w:t>
      </w:r>
      <w:r>
        <w:rPr>
          <w:color w:val="000000"/>
          <w:szCs w:val="24"/>
          <w:vertAlign w:val="subscript"/>
          <w:lang w:eastAsia="lt-LT"/>
        </w:rPr>
        <w:t>g</w:t>
      </w:r>
      <w:r>
        <w:rPr>
          <w:color w:val="000000"/>
          <w:szCs w:val="24"/>
          <w:lang w:eastAsia="lt-LT"/>
        </w:rPr>
        <w:t xml:space="preserve"> koeficientas 1,12;</w:t>
      </w:r>
    </w:p>
    <w:p w14:paraId="345CFD45" w14:textId="0F10AEE2" w:rsidR="006454BC" w:rsidRDefault="004F3F7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22.2.15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>. elektros energijos jėgainei, nurodytai 11.15</w:t>
      </w:r>
      <w:r>
        <w:rPr>
          <w:color w:val="000000"/>
          <w:szCs w:val="24"/>
          <w:vertAlign w:val="superscript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punkte, taikomas k</w:t>
      </w:r>
      <w:r>
        <w:rPr>
          <w:color w:val="000000"/>
          <w:szCs w:val="24"/>
          <w:vertAlign w:val="subscript"/>
          <w:lang w:eastAsia="lt-LT"/>
        </w:rPr>
        <w:t>g</w:t>
      </w:r>
      <w:r>
        <w:rPr>
          <w:color w:val="000000"/>
          <w:szCs w:val="24"/>
          <w:lang w:eastAsia="lt-LT"/>
        </w:rPr>
        <w:t xml:space="preserve"> koeficientas 1,00;“.</w:t>
      </w:r>
    </w:p>
    <w:p w14:paraId="0E11D777" w14:textId="0ACAE672" w:rsidR="004F3F7F" w:rsidRDefault="004F3F7F">
      <w:pPr>
        <w:widowControl w:val="0"/>
        <w:tabs>
          <w:tab w:val="right" w:pos="9071"/>
        </w:tabs>
        <w:suppressAutoHyphens/>
      </w:pPr>
    </w:p>
    <w:p w14:paraId="1FDE34E6" w14:textId="77777777" w:rsidR="004F3F7F" w:rsidRDefault="004F3F7F">
      <w:pPr>
        <w:widowControl w:val="0"/>
        <w:tabs>
          <w:tab w:val="right" w:pos="9071"/>
        </w:tabs>
        <w:suppressAutoHyphens/>
      </w:pPr>
    </w:p>
    <w:p w14:paraId="345CFD46" w14:textId="5D83AF05" w:rsidR="006454BC" w:rsidRDefault="004F3F7F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Komisijos pirmininkė </w:t>
      </w:r>
      <w:r>
        <w:rPr>
          <w:caps/>
          <w:color w:val="000000"/>
          <w:szCs w:val="24"/>
          <w:lang w:eastAsia="lt-LT"/>
        </w:rPr>
        <w:tab/>
        <w:t>Diana Korsakaitė</w:t>
      </w:r>
    </w:p>
    <w:p w14:paraId="345CFD48" w14:textId="1EC75CED" w:rsidR="006454BC" w:rsidRDefault="004F3F7F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sectPr w:rsidR="006454BC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D7"/>
    <w:rsid w:val="004F3F7F"/>
    <w:rsid w:val="006454BC"/>
    <w:rsid w:val="00F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F3F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F3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74C02C43863"/>
  <Relationship Id="rId11" Type="http://schemas.openxmlformats.org/officeDocument/2006/relationships/hyperlink" TargetMode="External" Target="https://www.e-tar.lt/portal/lt/legalAct/TAR.E9F6902AD0D1"/>
  <Relationship Id="rId12" Type="http://schemas.openxmlformats.org/officeDocument/2006/relationships/hyperlink" TargetMode="External" Target="https://www.e-tar.lt/portal/lt/legalAct/TAR.7D906F6FA963"/>
  <Relationship Id="rId13" Type="http://schemas.openxmlformats.org/officeDocument/2006/relationships/hyperlink" TargetMode="External" Target="https://www.e-tar.lt/portal/lt/legalAct/TAR.57BB93454BAD"/>
  <Relationship Id="rId14" Type="http://schemas.openxmlformats.org/officeDocument/2006/relationships/image" Target="media/image1.wmf"/>
  <Relationship Id="rId15" Type="http://schemas.openxmlformats.org/officeDocument/2006/relationships/image" Target="media/image2.wmf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44235B485568"/>
  <Relationship Id="rId7" Type="http://schemas.openxmlformats.org/officeDocument/2006/relationships/hyperlink" TargetMode="External" Target="https://www.e-tar.lt/portal/lt/legalAct/TAR.C2DAB42D5532"/>
  <Relationship Id="rId8" Type="http://schemas.openxmlformats.org/officeDocument/2006/relationships/hyperlink" TargetMode="External" Target="https://www.e-tar.lt/portal/lt/legalAct/TAR.FC7AB69BE291"/>
  <Relationship Id="rId9" Type="http://schemas.openxmlformats.org/officeDocument/2006/relationships/hyperlink" TargetMode="External" Target="https://www.e-tar.lt/portal/lt/legalAct/TAR.E1002166FF8C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9"/>
    <w:rsid w:val="009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2C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2C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3911</Words>
  <Characters>2230</Characters>
  <Application>Microsoft Office Word</Application>
  <DocSecurity>0</DocSecurity>
  <Lines>18</Lines>
  <Paragraphs>12</Paragraphs>
  <ScaleCrop>false</ScaleCrop>
  <Company>Teisines informacijos centras</Company>
  <LinksUpToDate>false</LinksUpToDate>
  <CharactersWithSpaces>6129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2015-10-14T02:57:00Z</dcterms:created>
  <dc:creator>Kamilija</dc:creator>
  <lastModifiedBy>DRAZDAUSKIENĖ Nijolė</lastModifiedBy>
  <dcterms:modified xsi:type="dcterms:W3CDTF">2016-03-01T06:34:00Z</dcterms:modified>
  <revision>3</revision>
  <dc:title>VALSTYBINĖS KAINŲ IR ENERGETIKOS KONTROLĖS KOMISIJOS</dc:title>
</coreProperties>
</file>