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rPr>
      </w:pPr>
      <w:r>
        <w:rPr>
          <w:b/>
          <w:bCs/>
          <w:cap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rPr>
        <w:t xml:space="preserve">LIETUVOS RESPUBLIKOS </w:t>
      </w:r>
    </w:p>
    <w:p>
      <w:pPr>
        <w:widowControl w:val="0"/>
        <w:jc w:val="center"/>
        <w:rPr>
          <w:b/>
          <w:bCs/>
          <w:caps/>
        </w:rPr>
      </w:pPr>
      <w:r>
        <w:rPr>
          <w:b/>
          <w:bCs/>
          <w:caps/>
        </w:rPr>
        <w:t>SVEIKATOS DRAUDIMO ĮSTATYMO 17 STRAIPSNIO PAKEITIMO</w:t>
      </w:r>
    </w:p>
    <w:p>
      <w:pPr>
        <w:widowControl w:val="0"/>
        <w:jc w:val="center"/>
        <w:rPr>
          <w:b/>
          <w:bCs/>
          <w:caps/>
          <w:spacing w:val="60"/>
        </w:rPr>
      </w:pPr>
      <w:r>
        <w:rPr>
          <w:b/>
          <w:bCs/>
          <w:caps/>
          <w:spacing w:val="60"/>
        </w:rPr>
        <w:t>ĮSTATYMAS</w:t>
      </w:r>
    </w:p>
    <w:p>
      <w:pPr>
        <w:widowControl w:val="0"/>
        <w:jc w:val="center"/>
      </w:pPr>
    </w:p>
    <w:p>
      <w:pPr>
        <w:widowControl w:val="0"/>
        <w:jc w:val="center"/>
      </w:pPr>
      <w:r>
        <w:t>2012 m. birželio 29 d. Nr. XI-2172</w:t>
      </w:r>
    </w:p>
    <w:p>
      <w:pPr>
        <w:widowControl w:val="0"/>
        <w:jc w:val="center"/>
        <w:rPr>
          <w:b/>
          <w:bCs/>
        </w:rPr>
      </w:pPr>
      <w:r>
        <w:t>Vilnius</w:t>
      </w:r>
    </w:p>
    <w:p>
      <w:pPr>
        <w:widowControl w:val="0"/>
        <w:jc w:val="center"/>
      </w:pPr>
    </w:p>
    <w:p>
      <w:pPr>
        <w:widowControl w:val="0"/>
        <w:jc w:val="center"/>
      </w:pPr>
      <w:r>
        <w:t xml:space="preserve">(Žin., 1996, Nr. </w:t>
      </w:r>
      <w:fldSimple w:instr="HYPERLINK https://www.e-tar.lt/portal/lt/legalAct/TAR.94F6B680E8B8 \t _blank">
        <w:r>
          <w:rPr>
            <w:u w:val="single"/>
            <w:color w:val="0000FF" w:themeColor="hyperlink"/>
          </w:rPr>
          <w:t>55-1287</w:t>
        </w:r>
      </w:fldSimple>
      <w:r>
        <w:t xml:space="preserve">; 2002, Nr. </w:t>
      </w:r>
      <w:fldSimple w:instr="HYPERLINK https://www.e-tar.lt/portal/lt/legalAct/TAR.8AC83320B76A \t _blank">
        <w:r>
          <w:rPr>
            <w:u w:val="single"/>
            <w:color w:val="0000FF" w:themeColor="hyperlink"/>
          </w:rPr>
          <w:t>123-5512</w:t>
        </w:r>
      </w:fldSimple>
      <w:r>
        <w:t xml:space="preserve">; 2004, Nr. </w:t>
      </w:r>
      <w:fldSimple w:instr="HYPERLINK https://www.e-tar.lt/portal/lt/legalAct/TAR.5A9D53671BAE \t _blank">
        <w:r>
          <w:rPr>
            <w:u w:val="single"/>
            <w:color w:val="0000FF" w:themeColor="hyperlink"/>
          </w:rPr>
          <w:t>171-6325</w:t>
        </w:r>
      </w:fldSimple>
      <w:r>
        <w:t xml:space="preserve">; 2008, Nr. </w:t>
      </w:r>
      <w:fldSimple w:instr="HYPERLINK https://www.e-tar.lt/portal/lt/legalAct/TAR.BB86E35BB7CC \t _blank">
        <w:r>
          <w:rPr>
            <w:u w:val="single"/>
            <w:color w:val="0000FF" w:themeColor="hyperlink"/>
          </w:rPr>
          <w:t>149-6022</w:t>
        </w:r>
      </w:fldSimple>
      <w:r>
        <w:t xml:space="preserve">; 2009, Nr. </w:t>
      </w:r>
      <w:fldSimple w:instr="HYPERLINK https://www.e-tar.lt/portal/lt/legalAct/TAR.3CF9D15015A1 \t _blank">
        <w:r>
          <w:rPr>
            <w:u w:val="single"/>
            <w:color w:val="0000FF" w:themeColor="hyperlink"/>
          </w:rPr>
          <w:t>25-985</w:t>
        </w:r>
      </w:fldSimple>
      <w:r>
        <w:t xml:space="preserve">, Nr. </w:t>
      </w:r>
      <w:fldSimple w:instr="HYPERLINK https://www.e-tar.lt/portal/lt/legalAct/TAR.C06792A3BA03 \t _blank">
        <w:r>
          <w:rPr>
            <w:u w:val="single"/>
            <w:color w:val="0000FF" w:themeColor="hyperlink"/>
          </w:rPr>
          <w:t>93-3983</w:t>
        </w:r>
      </w:fldSimple>
      <w:r>
        <w:t xml:space="preserve">; 2010, Nr. </w:t>
      </w:r>
      <w:fldSimple w:instr="HYPERLINK https://www.e-tar.lt/portal/lt/legalAct/TAR.DB375D575BB2 \t _blank">
        <w:r>
          <w:rPr>
            <w:u w:val="single"/>
            <w:color w:val="0000FF" w:themeColor="hyperlink"/>
          </w:rPr>
          <w:t>86-4518</w:t>
        </w:r>
      </w:fldSimple>
      <w:r>
        <w:t xml:space="preserve">, Nr. </w:t>
      </w:r>
      <w:fldSimple w:instr="HYPERLINK https://www.e-tar.lt/portal/lt/legalAct/TAR.4F5AC0F4CE58 \t _blank">
        <w:r>
          <w:rPr>
            <w:u w:val="single"/>
            <w:color w:val="0000FF" w:themeColor="hyperlink"/>
          </w:rPr>
          <w:t>137-6998</w:t>
        </w:r>
      </w:fldSimple>
      <w:r>
        <w:t xml:space="preserve">, Nr. </w:t>
      </w:r>
      <w:fldSimple w:instr="HYPERLINK https://www.e-tar.lt/portal/lt/legalAct/TAR.BA19362945FE \t _blank">
        <w:r>
          <w:rPr>
            <w:u w:val="single"/>
            <w:color w:val="0000FF" w:themeColor="hyperlink"/>
          </w:rPr>
          <w:t>137-7004</w:t>
        </w:r>
      </w:fldSimple>
      <w:r>
        <w:t xml:space="preserve">, Nr. </w:t>
      </w:r>
      <w:fldSimple w:instr="HYPERLINK https://www.e-tar.lt/portal/lt/legalAct/TAR.A1D18BB4FFCD \t _blank">
        <w:r>
          <w:rPr>
            <w:u w:val="single"/>
            <w:color w:val="0000FF" w:themeColor="hyperlink"/>
          </w:rPr>
          <w:t>145-7422</w:t>
        </w:r>
      </w:fldSimple>
      <w:r>
        <w:t xml:space="preserve">; 2011, Nr. </w:t>
      </w:r>
      <w:fldSimple w:instr="HYPERLINK https://www.e-tar.lt/portal/lt/legalAct/TAR.1EE0B2E40D81 \t _blank">
        <w:r>
          <w:rPr>
            <w:u w:val="single"/>
            <w:color w:val="0000FF" w:themeColor="hyperlink"/>
          </w:rPr>
          <w:t>160-7564</w:t>
        </w:r>
      </w:fldSimple>
      <w:r>
        <w:t>)</w:t>
      </w:r>
    </w:p>
    <w:p>
      <w:pPr>
        <w:ind w:firstLine="567"/>
        <w:jc w:val="both"/>
      </w:pPr>
    </w:p>
    <w:p>
      <w:pPr>
        <w:widowControl w:val="0"/>
        <w:ind w:firstLine="567"/>
        <w:rPr>
          <w:b/>
          <w:bCs/>
        </w:rPr>
      </w:pPr>
      <w:r>
        <w:rPr>
          <w:b/>
          <w:bCs/>
        </w:rPr>
        <w:t>1</w:t>
      </w:r>
      <w:r>
        <w:rPr>
          <w:b/>
          <w:bCs/>
        </w:rPr>
        <w:t xml:space="preserve"> straipsnis. </w:t>
      </w:r>
      <w:r>
        <w:rPr>
          <w:b/>
          <w:bCs/>
        </w:rPr>
        <w:t>17 straipsnio 6 dalies pakeitimas</w:t>
      </w:r>
    </w:p>
    <w:p>
      <w:pPr>
        <w:widowControl w:val="0"/>
        <w:ind w:firstLine="567"/>
        <w:jc w:val="both"/>
      </w:pPr>
      <w:r>
        <w:t>Pakeisti 17 straipsnio 6 dalį ir ją išdėstyti taip:</w:t>
      </w:r>
    </w:p>
    <w:p>
      <w:pPr>
        <w:widowControl w:val="0"/>
        <w:ind w:firstLine="567"/>
        <w:jc w:val="both"/>
      </w:pPr>
      <w:r>
        <w:t>„</w:t>
      </w:r>
      <w:r>
        <w:t>6</w:t>
      </w:r>
      <w:r>
        <w:t>. Individualios įmonės už individualių įmonių savininkus, ūkinės bendrijos už ūkinių bendrijų tikruosius narius ir mažosios bendrijos už mažųjų bendrijų narius moka 9 procentų dydžio privalomojo sveikatos draudimo įmokas nuo sumos, nuo kurios skaičiuojamos jų socialinio draudimo įmokos. Tais atvejais, kai individuali įmonė, ūkinė bendrija ar mažoji bendrija laikinai nevykdo veiklos ir apie tai yra informavusi Valstybinę mokesčių inspekciją prie Lietuvos Respublikos finansų ministerijos jos nustatyta tvarka arba turi likviduojamos ar bankrutuojančios įmonės statusą, individualių įmonių savininkai, ūkinių bendrijų tikrieji nariai ir mažųjų bendrijų nariai kas mėnesį už save moka 9 procentų minimaliosios mėnesinės algos, galiojančios mėnesio, už kurį mokama įmoka, paskutinę dieną, dydžio privalomojo sveikatos draudimo įmokas, jeigu jie nepriklauso asmenims, išvardytiems šio straipsnio 1–8 dalyse ir šio įstatymo 6 straipsnio 4 dalyje.“</w:t>
      </w:r>
    </w:p>
    <w:p>
      <w:pPr>
        <w:ind w:firstLine="567"/>
        <w:jc w:val="both"/>
      </w:pPr>
    </w:p>
    <w:p>
      <w:pPr>
        <w:widowControl w:val="0"/>
        <w:ind w:firstLine="567"/>
        <w:rPr>
          <w:b/>
          <w:bCs/>
        </w:rPr>
      </w:pPr>
      <w:r>
        <w:rPr>
          <w:b/>
          <w:bCs/>
        </w:rPr>
        <w:t>2</w:t>
      </w:r>
      <w:r>
        <w:rPr>
          <w:b/>
          <w:bCs/>
        </w:rPr>
        <w:t xml:space="preserve"> straipsnis. </w:t>
      </w:r>
      <w:r>
        <w:rPr>
          <w:b/>
          <w:bCs/>
        </w:rPr>
        <w:t>Pasiūlymai Lietuvos Respublikos Vyriausybei</w:t>
      </w:r>
    </w:p>
    <w:p>
      <w:pPr>
        <w:widowControl w:val="0"/>
        <w:ind w:firstLine="567"/>
        <w:jc w:val="both"/>
        <w:rPr>
          <w:b/>
          <w:bCs/>
        </w:rPr>
      </w:pPr>
      <w:r>
        <w:t>Lietuvos Respublikos Vyriausybė iki šio įstatymo įsigaliojimo priima šio įstatymo įgyvendinamuosius teisės aktus.</w:t>
      </w:r>
    </w:p>
    <w:p>
      <w:pPr>
        <w:ind w:firstLine="567"/>
        <w:jc w:val="both"/>
      </w:pPr>
    </w:p>
    <w:p>
      <w:pPr>
        <w:widowControl w:val="0"/>
        <w:ind w:firstLine="567"/>
        <w:rPr>
          <w:b/>
          <w:bCs/>
        </w:rPr>
      </w:pPr>
      <w:r>
        <w:rPr>
          <w:b/>
          <w:bCs/>
        </w:rPr>
        <w:t>3</w:t>
      </w:r>
      <w:r>
        <w:rPr>
          <w:b/>
          <w:bCs/>
        </w:rPr>
        <w:t xml:space="preserve"> straipsnis. </w:t>
      </w:r>
      <w:r>
        <w:rPr>
          <w:b/>
          <w:bCs/>
        </w:rPr>
        <w:t>Įstatymo įsigaliojimas</w:t>
      </w:r>
    </w:p>
    <w:p>
      <w:pPr>
        <w:widowControl w:val="0"/>
        <w:ind w:firstLine="567"/>
        <w:jc w:val="both"/>
      </w:pPr>
      <w:r>
        <w:t>Šis įstatymas, išskyrus 2 straipsnį, įsigalioja 2012 m. rugsėjo 1 d.</w:t>
      </w:r>
    </w:p>
    <w:p>
      <w:pPr>
        <w:widowControl w:val="0"/>
        <w:ind w:firstLine="567"/>
        <w:jc w:val="both"/>
      </w:pPr>
    </w:p>
    <w:p>
      <w:pPr>
        <w:widowControl w:val="0"/>
        <w:ind w:firstLine="567"/>
        <w:jc w:val="both"/>
        <w:rPr>
          <w:i/>
          <w:iCs/>
        </w:rPr>
      </w:pPr>
      <w:r>
        <w:rPr>
          <w:i/>
          <w:iCs/>
        </w:rPr>
        <w:t xml:space="preserve">Skelbiu šį Lietuvos Respublikos Seimo priimtą įstatymą. </w:t>
      </w:r>
    </w:p>
    <w:p>
      <w:pPr>
        <w:widowControl w:val="0"/>
        <w:ind w:firstLine="567"/>
        <w:jc w:val="both"/>
      </w:pPr>
    </w:p>
    <w:p>
      <w:pPr>
        <w:widowControl w:val="0"/>
        <w:tabs>
          <w:tab w:val="right" w:pos="9071"/>
        </w:tabs>
        <w:rPr>
          <w:caps/>
        </w:rPr>
      </w:pPr>
    </w:p>
    <w:p>
      <w:pPr>
        <w:widowControl w:val="0"/>
        <w:tabs>
          <w:tab w:val="right" w:pos="9071"/>
        </w:tabs>
        <w:rPr>
          <w:caps/>
        </w:rPr>
      </w:pPr>
      <w:r>
        <w:rPr>
          <w:caps/>
        </w:rPr>
        <w:t>RESPUBLIKOS PREZIDENTĖ</w:t>
        <w:tab/>
        <w:t xml:space="preserve">DALIA GRYBAUSKAITĖ </w:t>
      </w:r>
    </w:p>
    <w:p>
      <w:pPr>
        <w:widowControl w:val="0"/>
        <w:ind w:firstLine="567"/>
        <w:jc w:val="both"/>
      </w:pPr>
    </w:p>
    <w:p>
      <w:pPr>
        <w:widowControl w:val="0"/>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1545</Characters>
  <Application>Microsoft Office Word</Application>
  <DocSecurity>4</DocSecurity>
  <Lines>38</Lines>
  <Paragraphs>18</Paragraphs>
  <ScaleCrop>false</ScaleCrop>
  <Company/>
  <LinksUpToDate>false</LinksUpToDate>
  <CharactersWithSpaces>1762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2015-09-23T16:35:00Z</dcterms:created>
  <dc:creator>Rima</dc:creator>
  <lastModifiedBy>Adlib User</lastModifiedBy>
  <dcterms:modified xsi:type="dcterms:W3CDTF">2015-09-23T16:35:00Z</dcterms:modified>
  <revision>2</revision>
  <dc:title>LIETUVOS RESPUBLIKOS SVEIKATOS DRAUDIMO ĮSTATYMO 17 STRAIPSNIO PAKEITIMO ĮSTATYMAS</dc:title>
</coreProperties>
</file>