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04DB" w14:textId="77777777" w:rsidR="002570BE" w:rsidRDefault="00C964A7">
      <w:pPr>
        <w:widowControl w:val="0"/>
        <w:jc w:val="center"/>
        <w:rPr>
          <w:caps/>
          <w:color w:val="000000"/>
        </w:rPr>
      </w:pPr>
      <w:r>
        <w:rPr>
          <w:caps/>
          <w:color w:val="000000"/>
        </w:rPr>
        <w:pict w14:anchorId="50F6051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aps/>
          <w:color w:val="000000"/>
        </w:rPr>
        <w:t>valstybinės teritorijų planavimo ir statybos inspekcijos</w:t>
      </w:r>
    </w:p>
    <w:p w14:paraId="50F604DC" w14:textId="77777777" w:rsidR="002570BE" w:rsidRDefault="00C964A7">
      <w:pPr>
        <w:widowControl w:val="0"/>
        <w:jc w:val="center"/>
        <w:rPr>
          <w:caps/>
          <w:color w:val="000000"/>
        </w:rPr>
      </w:pPr>
      <w:r>
        <w:rPr>
          <w:caps/>
          <w:color w:val="000000"/>
        </w:rPr>
        <w:t>prie aplinkos ministerijos viršininko</w:t>
      </w:r>
    </w:p>
    <w:p w14:paraId="50F604DD" w14:textId="77777777" w:rsidR="002570BE" w:rsidRDefault="00C964A7">
      <w:pPr>
        <w:widowControl w:val="0"/>
        <w:jc w:val="center"/>
        <w:rPr>
          <w:caps/>
          <w:color w:val="000000"/>
        </w:rPr>
      </w:pPr>
      <w:r>
        <w:rPr>
          <w:caps/>
          <w:color w:val="000000"/>
        </w:rPr>
        <w:t>Į S A K Y M A S</w:t>
      </w:r>
    </w:p>
    <w:p w14:paraId="50F604DE" w14:textId="77777777" w:rsidR="002570BE" w:rsidRDefault="002570BE">
      <w:pPr>
        <w:widowControl w:val="0"/>
        <w:jc w:val="center"/>
        <w:rPr>
          <w:color w:val="000000"/>
        </w:rPr>
      </w:pPr>
    </w:p>
    <w:p w14:paraId="50F604DF" w14:textId="77777777" w:rsidR="002570BE" w:rsidRDefault="00C964A7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VALSTYBINĖS TERITORIJŲ PLANAVIMO IR STATYBOS INSPEKCIJOS PRIE APLINKOS MINISTERIJOS VIRŠININKO 2011 M. LA</w:t>
      </w:r>
      <w:r>
        <w:rPr>
          <w:b/>
          <w:bCs/>
          <w:caps/>
          <w:color w:val="000000"/>
        </w:rPr>
        <w:t xml:space="preserve">PKRIČIO 10 D. ĮSAKYMO Nr. 1V-194 „DĖL ASMENŲ KONSULTAVIMO VALSTYBINĖJE TERITORIJŲ PLANAVIMO IR STATYBOS INSPEKCIJOJE PRIE APLINKOS MINISTERIJOS TAISYKLIŲ PATVIRTINIMO“ PAKEITIMO </w:t>
      </w:r>
    </w:p>
    <w:p w14:paraId="50F604E0" w14:textId="77777777" w:rsidR="002570BE" w:rsidRDefault="002570BE">
      <w:pPr>
        <w:widowControl w:val="0"/>
        <w:jc w:val="center"/>
        <w:rPr>
          <w:color w:val="000000"/>
        </w:rPr>
      </w:pPr>
    </w:p>
    <w:p w14:paraId="50F604E1" w14:textId="77777777" w:rsidR="002570BE" w:rsidRDefault="00C964A7"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2012 m. birželio 14 d. Nr. 1V-101 </w:t>
      </w:r>
    </w:p>
    <w:p w14:paraId="50F604E2" w14:textId="77777777" w:rsidR="002570BE" w:rsidRDefault="00C964A7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2611A7F3" w14:textId="77777777" w:rsidR="00C964A7" w:rsidRDefault="00C964A7">
      <w:pPr>
        <w:widowControl w:val="0"/>
        <w:jc w:val="center"/>
        <w:rPr>
          <w:color w:val="000000"/>
        </w:rPr>
      </w:pPr>
    </w:p>
    <w:p w14:paraId="50F604E3" w14:textId="77777777" w:rsidR="002570BE" w:rsidRDefault="002570BE">
      <w:pPr>
        <w:widowControl w:val="0"/>
        <w:ind w:firstLine="567"/>
        <w:jc w:val="both"/>
        <w:rPr>
          <w:color w:val="000000"/>
        </w:rPr>
      </w:pPr>
    </w:p>
    <w:p w14:paraId="50F604E4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Vadovaudamasi Valstybinės terito</w:t>
      </w:r>
      <w:r>
        <w:rPr>
          <w:color w:val="000000"/>
        </w:rPr>
        <w:t>rijų planavimo ir statybos inspekcijos prie Aplinkos ministerijos nuostatų, patvirtintų Lietuvos Respublikos aplinkos ministro 2003 m. liepos 9 d. įsakymu Nr. 349 (Žin., 2003, Nr. </w:t>
      </w:r>
      <w:hyperlink r:id="rId10" w:tgtFrame="_blank" w:history="1">
        <w:r>
          <w:rPr>
            <w:color w:val="0000FF" w:themeColor="hyperlink"/>
            <w:u w:val="single"/>
          </w:rPr>
          <w:t>76-3499</w:t>
        </w:r>
      </w:hyperlink>
      <w:r>
        <w:rPr>
          <w:color w:val="000000"/>
        </w:rPr>
        <w:t>; 2008, Nr. </w:t>
      </w:r>
      <w:hyperlink r:id="rId11" w:tgtFrame="_blank" w:history="1">
        <w:r>
          <w:rPr>
            <w:color w:val="0000FF" w:themeColor="hyperlink"/>
            <w:u w:val="single"/>
          </w:rPr>
          <w:t>63-2402</w:t>
        </w:r>
      </w:hyperlink>
      <w:r>
        <w:rPr>
          <w:color w:val="000000"/>
        </w:rPr>
        <w:t>; 2010, Nr. </w:t>
      </w:r>
      <w:hyperlink r:id="rId12" w:tgtFrame="_blank" w:history="1">
        <w:r>
          <w:rPr>
            <w:color w:val="0000FF" w:themeColor="hyperlink"/>
            <w:u w:val="single"/>
          </w:rPr>
          <w:t>54-2662</w:t>
        </w:r>
      </w:hyperlink>
      <w:r>
        <w:rPr>
          <w:color w:val="000000"/>
        </w:rPr>
        <w:t>), 14.14 punktu:</w:t>
      </w:r>
    </w:p>
    <w:p w14:paraId="50F604E5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p a k e i č i u Asmenų konsulta</w:t>
      </w:r>
      <w:r>
        <w:rPr>
          <w:color w:val="000000"/>
        </w:rPr>
        <w:t>vimo Valstybinėje teritorijų planavimo ir statybos inspekcijoje prie Aplinkos ministerijos taisykles, patvirtintas Valstybinės teritorijų planavimo ir statybos inspekcijos prie Aplinkos ministerijos viršininko 2011 m. lapkričio 10 d. įsakymu Nr. 1V-194 „Dė</w:t>
      </w:r>
      <w:r>
        <w:rPr>
          <w:color w:val="000000"/>
        </w:rPr>
        <w:t>l Asmenų konsultavimo Valstybinėje teritorijų planavimo ir statybos inspekcijoje prie Aplinkos ministerijos taisyklių patvirtinimo“ (Žin., 2011, Nr. </w:t>
      </w:r>
      <w:hyperlink r:id="rId13" w:tgtFrame="_blank" w:history="1">
        <w:r>
          <w:rPr>
            <w:color w:val="0000FF" w:themeColor="hyperlink"/>
            <w:u w:val="single"/>
          </w:rPr>
          <w:t>136-6481</w:t>
        </w:r>
      </w:hyperlink>
      <w:r>
        <w:rPr>
          <w:color w:val="000000"/>
        </w:rPr>
        <w:t>),</w:t>
      </w:r>
    </w:p>
    <w:p w14:paraId="50F604E6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5</w:t>
      </w:r>
      <w:r>
        <w:rPr>
          <w:color w:val="000000"/>
        </w:rPr>
        <w:t> punktą taip:</w:t>
      </w:r>
    </w:p>
    <w:p w14:paraId="50F604E7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Patvirtintos rašytinės konsultacijos dėl teisės aktų nuostatų taikymo teikiamos atsakant į asmenų paklausimus, pateiktus Inspekcijai raštu ar elektroninio pašto adresu info@vtpsi.lt, pasirašytus teisinę galią turinčiu saugiu elektronini</w:t>
      </w:r>
      <w:r>
        <w:rPr>
          <w:color w:val="000000"/>
        </w:rPr>
        <w:t>u parašu, sukurtu saugia parašo kūrimo programine įranga ir patvirtintu galiojančiu kvalifikuotu sertifikatu, išduotu Lietuvos Respublikoje ar kitoje Europos Sąjungos valstybėje akredituoto juridinio asmens (toliau – elektroninis parašas), taip pat pateikt</w:t>
      </w:r>
      <w:r>
        <w:rPr>
          <w:color w:val="000000"/>
        </w:rPr>
        <w:t>us Inspekcijos interneto svetainės skyriaus „Konsultacijos“ poskyryje „Elektroninė paklausimo forma“ užpildžius nurodytą elektroninę formą.“;</w:t>
      </w:r>
    </w:p>
    <w:p w14:paraId="50F604E8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6 punktą taip:</w:t>
      </w:r>
    </w:p>
    <w:p w14:paraId="50F604E9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 xml:space="preserve">. Rašytiniai anoniminiai paklausimai (asmeniui nenurodžius vardo, pavardės </w:t>
      </w:r>
      <w:r>
        <w:rPr>
          <w:color w:val="000000"/>
        </w:rPr>
        <w:t>ir adreso), elektroninio pašto adresu info@vtpsi.lt pateikti elektroniniu parašu nepasirašyti paklausimai, taip pat paklausimai, pateikti Inspekcijos interneto svetainės skyriaus „Konsultacijos“ poskyryje „Elektroninė paklausimo forma“ neteisingai užpildži</w:t>
      </w:r>
      <w:r>
        <w:rPr>
          <w:color w:val="000000"/>
        </w:rPr>
        <w:t>us elektroninės formos langelius, pažymėtus simboliu *, nagrinėjami ir atsakymai į tokius paklausimus teikiami tik Inspekcijos viršininko ar jo įgalioto asmens sprendimu.“;</w:t>
      </w:r>
    </w:p>
    <w:p w14:paraId="50F604EA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išdėstau 13 punktą taip:</w:t>
      </w:r>
    </w:p>
    <w:p w14:paraId="50F604EB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</w:t>
      </w:r>
      <w:r>
        <w:rPr>
          <w:color w:val="000000"/>
        </w:rPr>
        <w:t xml:space="preserve">. Inspekcijos viršininko ar jo įgalioto </w:t>
      </w:r>
      <w:r>
        <w:rPr>
          <w:color w:val="000000"/>
        </w:rPr>
        <w:t>asmens sprendimu rašytinės konsultacijos dėl teisės aktų nuostatų taikymo teikiamos tiesiogiai elektroniniu paštu, atsakant į paklausimus, pateiktus užpildžius Inspekcijos interneto svetainės skyriaus „Konsultacijos“ poskyryje „Elektroninė paklausimo forma</w:t>
      </w:r>
      <w:r>
        <w:rPr>
          <w:color w:val="000000"/>
        </w:rPr>
        <w:t>“ nurodytą elektroninę formą.“;</w:t>
      </w:r>
    </w:p>
    <w:p w14:paraId="50F604EC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išdėstau 16 punktą taip:</w:t>
      </w:r>
    </w:p>
    <w:p w14:paraId="50F604ED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16</w:t>
      </w:r>
      <w:r>
        <w:rPr>
          <w:color w:val="000000"/>
        </w:rPr>
        <w:t>. Asmenys žodžiu konsultuojami: Inspekcijos interneto svetainėje viešai paskelbtais konsultuoti skirtais specialiais fiksuotojo ryšio telefono numeriais; tiesiogiai asmeniui atvykus į</w:t>
      </w:r>
      <w:r>
        <w:rPr>
          <w:color w:val="000000"/>
        </w:rPr>
        <w:t xml:space="preserve"> Inspekciją darbuotojų priėmimo valandomis (pagal Inspekcijos interneto svetainės skyriaus „Struktūra ir kontaktai“ poskyryje „Kontaktinė informacija“ ir padalinio buveinėje paskelbtą Inspekcijos administracijos teritorinio padalinio darbuotojų priėmimo gr</w:t>
      </w:r>
      <w:r>
        <w:rPr>
          <w:color w:val="000000"/>
        </w:rPr>
        <w:t>afiką); iš anksto susitarus dėl konsultacijos žodžiu su darbuotoju, kuriam nenustatytos asmenų priėmimo valandos (atsiradus nenumatytoms aplinkybėms ir pasikeitus nurodytam priėmimo laikui ar vietai, darbuotojas privalo apie tai įspėti asmenį iš anksto); I</w:t>
      </w:r>
      <w:r>
        <w:rPr>
          <w:color w:val="000000"/>
        </w:rPr>
        <w:t xml:space="preserve">nspekcijai atliekant planinį ir neplaninį ūkio subjekto veiklos </w:t>
      </w:r>
      <w:r>
        <w:rPr>
          <w:color w:val="000000"/>
        </w:rPr>
        <w:lastRenderedPageBreak/>
        <w:t>patikrinimą; taip pat ūkio subjektui paprašius patikrinti jo veiklą konsultavimo tikslais.“;</w:t>
      </w:r>
    </w:p>
    <w:p w14:paraId="50F604EE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išdėstau 17.1 punktą taip:</w:t>
      </w:r>
    </w:p>
    <w:p w14:paraId="50F604EF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17.1</w:t>
      </w:r>
      <w:r>
        <w:rPr>
          <w:color w:val="000000"/>
        </w:rPr>
        <w:t xml:space="preserve">. suskambus telefonui, pakelti ragelį (rekomenduojama </w:t>
      </w:r>
      <w:r>
        <w:rPr>
          <w:color w:val="000000"/>
        </w:rPr>
        <w:t>iki trečiojo skambučio), ir prisistatyti;“;</w:t>
      </w:r>
    </w:p>
    <w:p w14:paraId="50F604F0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išdėstau 17.9 punktą taip:</w:t>
      </w:r>
    </w:p>
    <w:p w14:paraId="50F604F1" w14:textId="77777777" w:rsidR="002570BE" w:rsidRDefault="00C964A7">
      <w:pPr>
        <w:widowControl w:val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17.9</w:t>
      </w:r>
      <w:r>
        <w:rPr>
          <w:color w:val="000000"/>
        </w:rPr>
        <w:t>. kalbėti mandagiai ir ramiai, esant reikalui, paprašyti palaukti arba informuoti apie aplinkybes, nurodytas šių Taisyklių 18</w:t>
      </w:r>
      <w:r>
        <w:rPr>
          <w:color w:val="000000"/>
          <w:vertAlign w:val="superscript"/>
        </w:rPr>
        <w:t>4 </w:t>
      </w:r>
      <w:r>
        <w:rPr>
          <w:color w:val="000000"/>
        </w:rPr>
        <w:t>ir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18</w:t>
      </w:r>
      <w:r>
        <w:rPr>
          <w:color w:val="000000"/>
          <w:vertAlign w:val="superscript"/>
        </w:rPr>
        <w:t>5</w:t>
      </w:r>
      <w:r>
        <w:rPr>
          <w:color w:val="000000"/>
        </w:rPr>
        <w:t> punktuose;“;</w:t>
      </w:r>
    </w:p>
    <w:p w14:paraId="50F604F2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papildau </w:t>
      </w:r>
      <w:r>
        <w:rPr>
          <w:color w:val="000000"/>
        </w:rPr>
        <w:t>šiuo 17.10 punktu:</w:t>
      </w:r>
    </w:p>
    <w:p w14:paraId="50F604F3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17.10</w:t>
      </w:r>
      <w:r>
        <w:rPr>
          <w:color w:val="000000"/>
        </w:rPr>
        <w:t>. paklausti, ar asmuo neturi daugiau klausimų, ir atsisveikinti su asmeniu.“;</w:t>
      </w:r>
    </w:p>
    <w:p w14:paraId="50F604F4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išdėstau 18 punktą taip:</w:t>
      </w:r>
    </w:p>
    <w:p w14:paraId="50F604F5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</w:rPr>
        <w:t xml:space="preserve">. Fiksuotojo ryšio telefonais asmenis konsultuoja Inspekcijos viršininko įsakymu paskirti pirmojo ir antrojo </w:t>
      </w:r>
      <w:r>
        <w:rPr>
          <w:color w:val="000000"/>
        </w:rPr>
        <w:t>lygio konsultantai. Visi pokalbiai įrašomi (apie tai automatiškai perspėja telefono atsakiklis).“;</w:t>
      </w:r>
    </w:p>
    <w:p w14:paraId="50F604F6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papildau šiuo 18</w:t>
      </w:r>
      <w:r>
        <w:rPr>
          <w:color w:val="000000"/>
          <w:vertAlign w:val="superscript"/>
        </w:rPr>
        <w:t>1 </w:t>
      </w:r>
      <w:r>
        <w:rPr>
          <w:color w:val="000000"/>
        </w:rPr>
        <w:t>punktu:</w:t>
      </w:r>
    </w:p>
    <w:p w14:paraId="50F604F7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Konsultacijos žodžiu teikiamos konsultuoti skirtu mokamu fiksuotojo telefono numeriu (8 5) 207 3333, skambinant </w:t>
      </w:r>
      <w:r>
        <w:rPr>
          <w:color w:val="000000"/>
        </w:rPr>
        <w:t>iš užsienio valstybės +370 5 207 3333.“;</w:t>
      </w:r>
    </w:p>
    <w:p w14:paraId="50F604F8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papildau šiuo 18</w:t>
      </w:r>
      <w:r>
        <w:rPr>
          <w:color w:val="000000"/>
          <w:vertAlign w:val="superscript"/>
        </w:rPr>
        <w:t>2 </w:t>
      </w:r>
      <w:r>
        <w:rPr>
          <w:color w:val="000000"/>
        </w:rPr>
        <w:t>punktu:</w:t>
      </w:r>
    </w:p>
    <w:p w14:paraId="50F604F9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  <w:vertAlign w:val="superscript"/>
        </w:rPr>
        <w:t>2</w:t>
      </w:r>
      <w:r>
        <w:rPr>
          <w:color w:val="000000"/>
        </w:rPr>
        <w:t>. Asmeniui paskambinus kitu, negu nurodyta šių Taisyklių 18</w:t>
      </w:r>
      <w:r>
        <w:rPr>
          <w:color w:val="000000"/>
          <w:vertAlign w:val="superscript"/>
        </w:rPr>
        <w:t>1 </w:t>
      </w:r>
      <w:r>
        <w:rPr>
          <w:color w:val="000000"/>
        </w:rPr>
        <w:t>punkte, Inspekcijos fiksuotojo ryšio telefono numeriu, atsiliepęs Inspekcijos darbuotojas privalo asmeniui pas</w:t>
      </w:r>
      <w:r>
        <w:rPr>
          <w:color w:val="000000"/>
        </w:rPr>
        <w:t>iūlyti jo skambutį peradresuoti pirmojo lygio konsultantui, asmeniui atsisakius arba nesant galimybės to padaryti dėl techninių kliūčių, asmeniui turi būti pasiūlyta kreiptis šių Taisyklių 18</w:t>
      </w:r>
      <w:r>
        <w:rPr>
          <w:color w:val="000000"/>
          <w:vertAlign w:val="superscript"/>
        </w:rPr>
        <w:t>1 </w:t>
      </w:r>
      <w:r>
        <w:rPr>
          <w:color w:val="000000"/>
        </w:rPr>
        <w:t>punkte nurodytu fiksuotojo ryšio telefono numeriu arba klausimą</w:t>
      </w:r>
      <w:r>
        <w:rPr>
          <w:color w:val="000000"/>
        </w:rPr>
        <w:t xml:space="preserve"> pateikti vienu iš šių Taisyklių 5 punkte nurodytu būdu.“;</w:t>
      </w:r>
    </w:p>
    <w:p w14:paraId="50F604FA" w14:textId="77777777" w:rsidR="002570BE" w:rsidRDefault="00C964A7">
      <w:pPr>
        <w:widowControl w:val="0"/>
        <w:ind w:firstLine="567"/>
        <w:jc w:val="both"/>
        <w:rPr>
          <w:color w:val="000000"/>
          <w:vertAlign w:val="superscript"/>
        </w:rPr>
      </w:pPr>
      <w:r>
        <w:rPr>
          <w:color w:val="000000"/>
        </w:rPr>
        <w:t>11</w:t>
      </w:r>
      <w:r>
        <w:rPr>
          <w:color w:val="000000"/>
        </w:rPr>
        <w:t>. papildau šiuo 18</w:t>
      </w:r>
      <w:r>
        <w:rPr>
          <w:color w:val="000000"/>
          <w:vertAlign w:val="superscript"/>
        </w:rPr>
        <w:t>3 </w:t>
      </w:r>
      <w:r>
        <w:rPr>
          <w:color w:val="000000"/>
        </w:rPr>
        <w:t>punktu:</w:t>
      </w:r>
      <w:r>
        <w:rPr>
          <w:color w:val="000000"/>
          <w:vertAlign w:val="superscript"/>
        </w:rPr>
        <w:t xml:space="preserve"> </w:t>
      </w:r>
    </w:p>
    <w:p w14:paraId="50F604FB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  <w:vertAlign w:val="superscript"/>
        </w:rPr>
        <w:t>3</w:t>
      </w:r>
      <w:r>
        <w:rPr>
          <w:color w:val="000000"/>
        </w:rPr>
        <w:t>. Telefonu teikiama tik bendro pobūdžio konsultacija, nesietina su konkrečios situacijos nagrinėjimu.“;</w:t>
      </w:r>
    </w:p>
    <w:p w14:paraId="50F604FC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papildau šiuo 18</w:t>
      </w:r>
      <w:r>
        <w:rPr>
          <w:color w:val="000000"/>
          <w:vertAlign w:val="superscript"/>
        </w:rPr>
        <w:t>4 </w:t>
      </w:r>
      <w:r>
        <w:rPr>
          <w:color w:val="000000"/>
        </w:rPr>
        <w:t>punktu:</w:t>
      </w:r>
    </w:p>
    <w:p w14:paraId="50F604FD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  <w:vertAlign w:val="superscript"/>
        </w:rPr>
        <w:t>4</w:t>
      </w:r>
      <w:r>
        <w:rPr>
          <w:color w:val="000000"/>
        </w:rPr>
        <w:t>. Ta</w:t>
      </w:r>
      <w:r>
        <w:rPr>
          <w:color w:val="000000"/>
        </w:rPr>
        <w:t>is atvejais, kai pirmojo lygio konsultantai, naudodamiesi Inspekcijos interneto svetainėje paskelbta informacija, negali atsakyti į klausimą arba asmens netenkina atsakymas į klausimą, asmuo informuojamas, kad jam pageidaujant skambutis bus peradresuotas a</w:t>
      </w:r>
      <w:r>
        <w:rPr>
          <w:color w:val="000000"/>
        </w:rPr>
        <w:t>ntrojo lygio konsultantui, o asmeniui atsisakius, pasiūloma klausimą pateikti vienu iš šių Taisyklių 5 punkte nurodytu būdu.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Asmeniui sutikus, kad jo skambutis, būtų peradresuojamas antrojo lygio konsultantui, skambutis peradresuojamas tam antrojo lygio ko</w:t>
      </w:r>
      <w:r>
        <w:rPr>
          <w:color w:val="000000"/>
        </w:rPr>
        <w:t>nsultantui, kurio veiklos sričiai priklauso klausimas.“;</w:t>
      </w:r>
    </w:p>
    <w:p w14:paraId="50F604FE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papildau šiuo 18</w:t>
      </w:r>
      <w:r>
        <w:rPr>
          <w:color w:val="000000"/>
          <w:vertAlign w:val="superscript"/>
        </w:rPr>
        <w:t>5 </w:t>
      </w:r>
      <w:r>
        <w:rPr>
          <w:color w:val="000000"/>
        </w:rPr>
        <w:t>punktu:</w:t>
      </w:r>
    </w:p>
    <w:p w14:paraId="50F604FF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  <w:vertAlign w:val="superscript"/>
        </w:rPr>
        <w:t>5</w:t>
      </w:r>
      <w:r>
        <w:rPr>
          <w:color w:val="000000"/>
        </w:rPr>
        <w:t>. Asmeniui pateikus klausimą, į kurį atsakymui pateikti reikia žinoti su konkrečia teritorija susijusius teisės aktus (pvz., teritorijų planavimo dokumentu</w:t>
      </w:r>
      <w:r>
        <w:rPr>
          <w:color w:val="000000"/>
        </w:rPr>
        <w:t>s, specialiąsias žemės ir miško naudojimo sąlygas ir pan.), asmuo informuojamas, kad jam pageidaujant skambutis bus peradresuotas toje teritorijoje, kurios reglamentavimas jį domina, esančio Inspekcijos teritorinio padalinio darbuotojui, tačiau jo atsakyma</w:t>
      </w:r>
      <w:r>
        <w:rPr>
          <w:color w:val="000000"/>
        </w:rPr>
        <w:t>s nebus laikomas konsultacija, asmeniui atsisakius arba nesant galimybės to padaryti dėl techninių kliūčių, – nurodomas jam to darbuotojo telefono numeris arba pasiūloma jam klausimą pateikti vienu iš šių Taisyklių 5 punkte nurodytu būdu.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Tais atvejais, ka</w:t>
      </w:r>
      <w:r>
        <w:rPr>
          <w:color w:val="000000"/>
        </w:rPr>
        <w:t>i yra poreikis peradresuoti skambutį į Inspekcijos teritorinį padalinį, peradresuojama tam darbuotojui, kurio veikla susijusi su teritorija, kurios reglamentavimas domina asmenį.“;</w:t>
      </w:r>
    </w:p>
    <w:p w14:paraId="50F60500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papildau šiuo 18</w:t>
      </w:r>
      <w:r>
        <w:rPr>
          <w:color w:val="000000"/>
          <w:vertAlign w:val="superscript"/>
        </w:rPr>
        <w:t>6 </w:t>
      </w:r>
      <w:r>
        <w:rPr>
          <w:color w:val="000000"/>
        </w:rPr>
        <w:t>punktu:</w:t>
      </w:r>
    </w:p>
    <w:p w14:paraId="50F60501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  <w:vertAlign w:val="superscript"/>
        </w:rPr>
        <w:t>6</w:t>
      </w:r>
      <w:r>
        <w:rPr>
          <w:color w:val="000000"/>
        </w:rPr>
        <w:t>. Asmeniui pageidaujant, Inspek</w:t>
      </w:r>
      <w:r>
        <w:rPr>
          <w:color w:val="000000"/>
        </w:rPr>
        <w:t>cija sudaro sąlygos išklausyti su juo vykusio pokalbio įrašą. Asmuo dėl pageidavimo išklausyti pokalbio įrašą turi raštu kreiptis į Inspekciją ne vėliau negu per 6 mėnesius nuo pokalbio dienos, nurodant tikslią kreipimosi telefonu datą, laiką ir telefono n</w:t>
      </w:r>
      <w:r>
        <w:rPr>
          <w:color w:val="000000"/>
        </w:rPr>
        <w:t>umerį, iš kurio buvo skambinta. Pokalbio įrašo skaitmeninė ir / ar šio įrašo tekstas gali būti pateikti tretiesiems asmenims Lietuvos Respublikos įstatymų nustatytais atvejais, kai tai būtina jų funkcijoms atlikti arba paklausėjui raštu sutikus ar paprašiu</w:t>
      </w:r>
      <w:r>
        <w:rPr>
          <w:color w:val="000000"/>
        </w:rPr>
        <w:t>s.“;</w:t>
      </w:r>
    </w:p>
    <w:p w14:paraId="50F60502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papildau šiuo 18</w:t>
      </w:r>
      <w:r>
        <w:rPr>
          <w:color w:val="000000"/>
          <w:vertAlign w:val="superscript"/>
        </w:rPr>
        <w:t>7 </w:t>
      </w:r>
      <w:r>
        <w:rPr>
          <w:color w:val="000000"/>
        </w:rPr>
        <w:t>punktu:</w:t>
      </w:r>
    </w:p>
    <w:p w14:paraId="50F60503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  <w:vertAlign w:val="superscript"/>
        </w:rPr>
        <w:t>7</w:t>
      </w:r>
      <w:r>
        <w:rPr>
          <w:color w:val="000000"/>
        </w:rPr>
        <w:t>. Asmenys, kurių gauta konsultacija telefonu netenkina arba mano, kad buvo suteikta klaidinga informacija, gali raštu kreiptis konsultacijos į Inspekciją per 6 mėnesius nuo konsultacijos suteikimo. Rašte tur</w:t>
      </w:r>
      <w:r>
        <w:rPr>
          <w:color w:val="000000"/>
        </w:rPr>
        <w:t>i būti nurodyta tiksli kreipimosi telefonu data, laikas ir telefono numeris, iš kurio buvo skambinta, taip pat argumentai, kodėl netenkina gauta konsultacija telefonu.“;</w:t>
      </w:r>
    </w:p>
    <w:p w14:paraId="50F60504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išdėstau 21 punktą taip:</w:t>
      </w:r>
    </w:p>
    <w:p w14:paraId="50F60505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21</w:t>
      </w:r>
      <w:r>
        <w:rPr>
          <w:color w:val="000000"/>
        </w:rPr>
        <w:t>. Ūkio subjekto veiklos planinio ar neplanin</w:t>
      </w:r>
      <w:r>
        <w:rPr>
          <w:color w:val="000000"/>
        </w:rPr>
        <w:t>io patikrinimo metu konsultacijas teikia darbuotojas, kuris atlieka tokį patikrinimą, o informaciją apie suteiktą konsultaciją įrašo į patikrinimo pažymą Inspekcijos viršininko nustatyta tvarka.“;</w:t>
      </w:r>
    </w:p>
    <w:p w14:paraId="50F60506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išdėstau 22 punktą taip:</w:t>
      </w:r>
    </w:p>
    <w:p w14:paraId="50F60507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22</w:t>
      </w:r>
      <w:r>
        <w:rPr>
          <w:color w:val="000000"/>
        </w:rPr>
        <w:t>. Ūkio subjektas,</w:t>
      </w:r>
      <w:r>
        <w:rPr>
          <w:color w:val="000000"/>
        </w:rPr>
        <w:t xml:space="preserve"> norėdamas, kad jo veikla būtų patikrinta konsultavimo tikslais, pateikia rašytinį prašymą patikrinti veiklą konsultavimo tikslais Inspekcijos administracijos teritoriniam padaliniui, kurio aptarnaujamoje teritorijoje jis vykdo veiklą. Tokiais atvejais kon</w:t>
      </w:r>
      <w:r>
        <w:rPr>
          <w:color w:val="000000"/>
        </w:rPr>
        <w:t>sultuoti turi teisę Inspekcijos darbuotojas, kuriam pavesta pagal kompetenciją atlikti patikrinimą. Patikrinimas konsultavimo tikslais atliekamas ir įforminamas Inspekcijos viršininko nustatyta tvarka.“;</w:t>
      </w:r>
    </w:p>
    <w:p w14:paraId="50F60508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išdėstau 25 punktą taip:</w:t>
      </w:r>
    </w:p>
    <w:p w14:paraId="50F60509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25</w:t>
      </w:r>
      <w:r>
        <w:rPr>
          <w:color w:val="000000"/>
        </w:rPr>
        <w:t xml:space="preserve">. </w:t>
      </w:r>
      <w:r>
        <w:rPr>
          <w:color w:val="000000"/>
        </w:rPr>
        <w:t>Taisyklių 24 punkte nurodytos (24.1 ir 24.3 punktuose nurodytos – nuasmenintos) konsultacijos skelbiamos Inspekcijos interneto svetainės skyriaus „Ūkio subjektų veiklos priežiūra“ poskyryje „Konsultacijos“ ir skyriuje „Klausimai“.“;</w:t>
      </w:r>
    </w:p>
    <w:p w14:paraId="50F6050A" w14:textId="77777777" w:rsidR="002570BE" w:rsidRDefault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 išdėstau 28</w:t>
      </w:r>
      <w:r>
        <w:rPr>
          <w:color w:val="000000"/>
        </w:rPr>
        <w:t> punktą taip:</w:t>
      </w:r>
    </w:p>
    <w:p w14:paraId="50F6050D" w14:textId="0E64CB87" w:rsidR="002570BE" w:rsidRDefault="00C964A7" w:rsidP="00C964A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28</w:t>
      </w:r>
      <w:r>
        <w:rPr>
          <w:color w:val="000000"/>
        </w:rPr>
        <w:t>. Inspekcijos viršininko įsakymu patvirtintas teisės aktų sąrašas ir jo pakeitimai skelbiami Inspekcijos interneto svetainės skyriuje „Teisinė informacija“ ir skyriuje „Ūkio subjektų veiklos priežiūra“.“.</w:t>
      </w:r>
    </w:p>
    <w:bookmarkStart w:id="0" w:name="_GoBack" w:displacedByCustomXml="prev"/>
    <w:p w14:paraId="7FBFBAA4" w14:textId="77777777" w:rsidR="00C964A7" w:rsidRDefault="00C964A7" w:rsidP="00C964A7">
      <w:pPr>
        <w:widowControl w:val="0"/>
        <w:tabs>
          <w:tab w:val="right" w:pos="9071"/>
        </w:tabs>
        <w:rPr>
          <w:caps/>
          <w:color w:val="000000"/>
        </w:rPr>
      </w:pPr>
    </w:p>
    <w:p w14:paraId="2A4209A1" w14:textId="77777777" w:rsidR="00C964A7" w:rsidRDefault="00C964A7" w:rsidP="00C964A7">
      <w:pPr>
        <w:widowControl w:val="0"/>
        <w:tabs>
          <w:tab w:val="right" w:pos="9071"/>
        </w:tabs>
        <w:rPr>
          <w:caps/>
          <w:color w:val="000000"/>
        </w:rPr>
      </w:pPr>
    </w:p>
    <w:p w14:paraId="42783EE1" w14:textId="77777777" w:rsidR="00C964A7" w:rsidRDefault="00C964A7" w:rsidP="00C964A7">
      <w:pPr>
        <w:widowControl w:val="0"/>
        <w:tabs>
          <w:tab w:val="right" w:pos="9071"/>
        </w:tabs>
        <w:rPr>
          <w:caps/>
          <w:color w:val="000000"/>
        </w:rPr>
      </w:pPr>
    </w:p>
    <w:p w14:paraId="50F60510" w14:textId="79681D89" w:rsidR="002570BE" w:rsidRDefault="00C964A7" w:rsidP="00C964A7">
      <w:pPr>
        <w:widowControl w:val="0"/>
        <w:tabs>
          <w:tab w:val="right" w:pos="9071"/>
        </w:tabs>
        <w:rPr>
          <w:color w:val="000000"/>
        </w:rPr>
      </w:pPr>
      <w:r>
        <w:rPr>
          <w:caps/>
          <w:color w:val="000000"/>
        </w:rPr>
        <w:t xml:space="preserve">Viršininkė </w:t>
      </w:r>
      <w:r>
        <w:rPr>
          <w:caps/>
          <w:color w:val="000000"/>
        </w:rPr>
        <w:tab/>
        <w:t>Laura Naliva</w:t>
      </w:r>
      <w:r>
        <w:rPr>
          <w:caps/>
          <w:color w:val="000000"/>
        </w:rPr>
        <w:t>ikienė</w:t>
      </w:r>
    </w:p>
    <w:bookmarkEnd w:id="0" w:displacedByCustomXml="next"/>
    <w:sectPr w:rsidR="002570BE" w:rsidSect="00C964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60514" w14:textId="77777777" w:rsidR="002570BE" w:rsidRDefault="00C964A7">
      <w:r>
        <w:separator/>
      </w:r>
    </w:p>
  </w:endnote>
  <w:endnote w:type="continuationSeparator" w:id="0">
    <w:p w14:paraId="50F60515" w14:textId="77777777" w:rsidR="002570BE" w:rsidRDefault="00C9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0518" w14:textId="77777777" w:rsidR="002570BE" w:rsidRDefault="002570B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0519" w14:textId="77777777" w:rsidR="002570BE" w:rsidRDefault="002570B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051B" w14:textId="77777777" w:rsidR="002570BE" w:rsidRDefault="002570B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60512" w14:textId="77777777" w:rsidR="002570BE" w:rsidRDefault="00C964A7">
      <w:r>
        <w:separator/>
      </w:r>
    </w:p>
  </w:footnote>
  <w:footnote w:type="continuationSeparator" w:id="0">
    <w:p w14:paraId="50F60513" w14:textId="77777777" w:rsidR="002570BE" w:rsidRDefault="00C9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0516" w14:textId="77777777" w:rsidR="002570BE" w:rsidRDefault="002570B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0517" w14:textId="77777777" w:rsidR="002570BE" w:rsidRDefault="002570B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051A" w14:textId="77777777" w:rsidR="002570BE" w:rsidRDefault="002570B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2C"/>
    <w:rsid w:val="002570BE"/>
    <w:rsid w:val="00354F2C"/>
    <w:rsid w:val="00C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60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964A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964A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964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964A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964A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96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F86CB964826"/>
  <Relationship Id="rId11" Type="http://schemas.openxmlformats.org/officeDocument/2006/relationships/hyperlink" TargetMode="External" Target="https://www.e-tar.lt/portal/lt/legalAct/TAR.48C83AEF810D"/>
  <Relationship Id="rId12" Type="http://schemas.openxmlformats.org/officeDocument/2006/relationships/hyperlink" TargetMode="External" Target="https://www.e-tar.lt/portal/lt/legalAct/TAR.3E7AC4A709A5"/>
  <Relationship Id="rId13" Type="http://schemas.openxmlformats.org/officeDocument/2006/relationships/hyperlink" TargetMode="External" Target="https://www.e-tar.lt/portal/lt/legalAct/TAR.1206715714E9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0A"/>
    <w:rsid w:val="00D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930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930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6012</Words>
  <Characters>3428</Characters>
  <Application>Microsoft Office Word</Application>
  <DocSecurity>0</DocSecurity>
  <Lines>28</Lines>
  <Paragraphs>18</Paragraphs>
  <ScaleCrop>false</ScaleCrop>
  <Company>Teisines informacijos centras</Company>
  <LinksUpToDate>false</LinksUpToDate>
  <CharactersWithSpaces>9422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2015-06-01T15:17:00Z</dcterms:created>
  <dc:creator>Kamilija</dc:creator>
  <lastModifiedBy>GUŽAUSKIENĖ Lina</lastModifiedBy>
  <dcterms:modified xsi:type="dcterms:W3CDTF">2015-10-27T09:10:00Z</dcterms:modified>
  <revision>3</revision>
  <dc:title>VALSTYBINĖS TERITORIJŲ PLANAVIMO IR STATYBOS INSPEKCIJOS</dc:title>
</coreProperties>
</file>