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80" w:rsidRDefault="00047B80">
      <w:pPr>
        <w:tabs>
          <w:tab w:val="center" w:pos="4153"/>
          <w:tab w:val="right" w:pos="8306"/>
        </w:tabs>
        <w:rPr>
          <w:lang w:val="en-GB"/>
        </w:rPr>
      </w:pPr>
    </w:p>
    <w:p w:rsidR="00047B80" w:rsidRDefault="00EB7CC5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:rsidR="00047B80" w:rsidRDefault="00EB7CC5">
      <w:pPr>
        <w:jc w:val="center"/>
        <w:rPr>
          <w:b/>
        </w:rPr>
      </w:pPr>
      <w:r>
        <w:rPr>
          <w:b/>
        </w:rPr>
        <w:t>NEPILNAMEČIŲ APSAUGOS NUO NEIGIAMO VIEŠOSIOS INFORMACIJOS POVEIKIO</w:t>
      </w:r>
    </w:p>
    <w:p w:rsidR="00047B80" w:rsidRDefault="00EB7CC5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bookmarkStart w:id="0" w:name="_GoBack"/>
      <w:bookmarkEnd w:id="0"/>
      <w:r>
        <w:rPr>
          <w:b/>
        </w:rPr>
        <w:t>S</w:t>
      </w:r>
    </w:p>
    <w:p w:rsidR="00047B80" w:rsidRDefault="00047B80">
      <w:pPr>
        <w:jc w:val="center"/>
      </w:pPr>
    </w:p>
    <w:p w:rsidR="00047B80" w:rsidRDefault="00EB7CC5">
      <w:pPr>
        <w:jc w:val="center"/>
      </w:pPr>
      <w:r>
        <w:t>2002 m. rugsėjo 10 d. Nr. IX-1067</w:t>
      </w:r>
    </w:p>
    <w:p w:rsidR="00047B80" w:rsidRDefault="00EB7CC5">
      <w:pPr>
        <w:jc w:val="center"/>
      </w:pPr>
      <w:r>
        <w:t>Vilnius</w:t>
      </w:r>
    </w:p>
    <w:p w:rsidR="00047B80" w:rsidRDefault="00047B80">
      <w:pPr>
        <w:jc w:val="center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Šis Įstatymas nustato viešosios in</w:t>
      </w:r>
      <w:r>
        <w:rPr>
          <w:color w:val="000000"/>
        </w:rPr>
        <w:t>formacijos, kuri daro neigiamą poveikį nepilnamečių fiziniam, protiniam ar doroviniam vystymuisi, kriterijus,</w:t>
      </w:r>
      <w:r>
        <w:rPr>
          <w:b/>
          <w:color w:val="000000"/>
        </w:rPr>
        <w:t xml:space="preserve"> </w:t>
      </w:r>
      <w:r>
        <w:rPr>
          <w:color w:val="000000"/>
        </w:rPr>
        <w:t>jos</w:t>
      </w:r>
      <w:r>
        <w:rPr>
          <w:b/>
          <w:color w:val="000000"/>
        </w:rPr>
        <w:t xml:space="preserve"> </w:t>
      </w:r>
      <w:r>
        <w:rPr>
          <w:color w:val="000000"/>
        </w:rPr>
        <w:t>skelbimo ir platinimo tvarką, taip pat šios informacijos rengėjų, platintojų ir jų savininkų, žurnalistų bei jų veiklą reglamentuojančių insti</w:t>
      </w:r>
      <w:r>
        <w:rPr>
          <w:color w:val="000000"/>
        </w:rPr>
        <w:t>tucijų teises, pareigas ir atsakomybę.</w:t>
      </w:r>
    </w:p>
    <w:p w:rsidR="00047B80" w:rsidRDefault="00EB7CC5">
      <w:pPr>
        <w:ind w:firstLine="708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Pagrindinės Įstatymo sąvokos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Nepilnametis</w:t>
      </w:r>
      <w:r>
        <w:rPr>
          <w:color w:val="000000"/>
        </w:rPr>
        <w:t xml:space="preserve"> – asmuo iki 18 metų.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Kitos šiame Įstatyme vartojamos pagrindinės sąvokos atitinka Visuomenės informavimo įstatymo 2 straipsnyje apibrėžtas s</w:t>
      </w:r>
      <w:r>
        <w:rPr>
          <w:color w:val="000000"/>
        </w:rPr>
        <w:t>ąvokas.</w:t>
      </w:r>
    </w:p>
    <w:p w:rsidR="00047B80" w:rsidRDefault="00EB7CC5">
      <w:pPr>
        <w:ind w:firstLine="708"/>
      </w:pPr>
    </w:p>
    <w:p w:rsidR="00047B80" w:rsidRDefault="00EB7CC5">
      <w:pPr>
        <w:ind w:left="2410" w:hanging="1701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 straipsnis. </w:t>
      </w:r>
      <w:r>
        <w:rPr>
          <w:b/>
        </w:rPr>
        <w:t>Pagrindiniai nepilnamečių apsaugos nuo neigiamo viešosios informacijos poveikio principai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Nustatant nepilnamečių apsaugos nuo neigiamo viešosios informacijos poveikio nuostatas bei atsakomybę už jų pažeidimus, vadovaujamasi: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) nepilnamečių ir visuomenės interesais;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viešosios informacijos rengėjų, platintojų ir jų savininkų, žurnalistų ir jų profesinių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organizacijų savikontrole bei įsipareigojimais;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atsakomybės priemonių tinkamumo, efektyvumo ir proporcingumo</w:t>
      </w:r>
      <w:r>
        <w:rPr>
          <w:color w:val="000000"/>
        </w:rPr>
        <w:t xml:space="preserve"> principu.</w:t>
      </w:r>
    </w:p>
    <w:p w:rsidR="00047B80" w:rsidRDefault="00EB7CC5">
      <w:pPr>
        <w:ind w:firstLine="708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Neigiamą poveikį nepilnamečių vystymuisi daranti viešoji informacija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Darančia neigiamą poveikį nepilnamečių fiziniam, protiniam ar doroviniam vystymuisi laikoma viešoji informacija: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) susijusi su fizinio ar </w:t>
      </w:r>
      <w:r>
        <w:rPr>
          <w:color w:val="000000"/>
        </w:rPr>
        <w:t>psichinio smurto vaizdavimu: kai detaliai vaizduojamas žmonių, gyvūnų žudymas, žalojimas ar kankinimas, taip pat vandalizmas, teigiamai vertinamas smurtas, mėgavimasis prievarta ar žiaurumu;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kurioje rodomas mirusio arba žiauriai sužaloto žmogaus kūn</w:t>
      </w:r>
      <w:r>
        <w:rPr>
          <w:color w:val="000000"/>
        </w:rPr>
        <w:t>as, išskyrus atvejus, kai toks rodymas reikalingas tapatybei nustatyti;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erotinio pobūdžio: kai skatinamas lytinis geismas, rodomas lytinis aktas, jo imitacija ar kitoks seksualinis pasitenkinimas, lytiniai organai, seksualiniai reikmenys;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suk</w:t>
      </w:r>
      <w:r>
        <w:rPr>
          <w:color w:val="000000"/>
        </w:rPr>
        <w:t>elianti baimę ar siaubą;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kurioje palankiai vertinamas priklausomumas nuo narkotinių, psichotropinių medžiagų, tabako ar alkoholio, skatinamas jų vartojimas, gamyba, platinimas ar įsigijimas;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skatinanti savęs žalojimą ar savižudybę;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kur</w:t>
      </w:r>
      <w:r>
        <w:rPr>
          <w:color w:val="000000"/>
        </w:rPr>
        <w:t>ioje teigiamai vertinama nusikalstama veika ar idealizuojami nusikaltėliai;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susijusi su nusikalstamos veikos modeliavimu;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kurioje kurstoma diskriminacija dėl tautybės, rasės, lyties, kilmės, neįgalumo, lytinės orientacijos,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religijos ar kitok</w:t>
      </w:r>
      <w:r>
        <w:rPr>
          <w:color w:val="000000"/>
        </w:rPr>
        <w:t>ios priklausomybės;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) kurioje dažnai vartojami nešvankūs posakiai, žodžiai ar gestai;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) kuri apibrėžta šio Įstatymo 5 straipsnio 1 dalyje.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Informacijos, atitinkančios bent vieną šio straipsnio 1 dalyje numatytų kriterijų, skelbimas ar </w:t>
      </w:r>
      <w:r>
        <w:rPr>
          <w:color w:val="000000"/>
        </w:rPr>
        <w:t>(ir) platinimas gali būti draudžiamas arba ribojamas.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Išskyrus šio Įstatymo 7 straipsnyje numatytus atvejus, draudžiama skelbti ar platinti viešąją informaciją, kuri gali pakenkti nepilnamečių fiziniam, protiniam ar doroviniam vystymuisi, ypač </w:t>
      </w:r>
      <w:r>
        <w:rPr>
          <w:color w:val="000000"/>
        </w:rPr>
        <w:t>pornografiją ir (ar) savitikslį smurto vaizdavimą.</w:t>
      </w:r>
    </w:p>
    <w:p w:rsidR="00047B80" w:rsidRDefault="00EB7CC5">
      <w:pPr>
        <w:ind w:firstLine="708"/>
      </w:pPr>
    </w:p>
    <w:p w:rsidR="00047B80" w:rsidRDefault="00EB7CC5">
      <w:pPr>
        <w:ind w:left="2410" w:hanging="1701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 straipsnis. </w:t>
      </w:r>
      <w:r>
        <w:rPr>
          <w:b/>
        </w:rPr>
        <w:t>Neigiamą poveikį nepilnamečių vystymuisi daranti viešoji informacija, susijusi su asmens duomenų paskelbimu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Neigiamą poveikį nepilnamečio vystymuisi darančia informacija taip pa</w:t>
      </w:r>
      <w:r>
        <w:rPr>
          <w:color w:val="000000"/>
        </w:rPr>
        <w:t>t laikoma viešoji informacija,</w:t>
      </w:r>
      <w:r>
        <w:rPr>
          <w:b/>
          <w:color w:val="000000"/>
        </w:rPr>
        <w:t xml:space="preserve"> </w:t>
      </w:r>
      <w:r>
        <w:rPr>
          <w:color w:val="000000"/>
        </w:rPr>
        <w:t>kurioje: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siejant su nusikalstama veika ar kitais teisės pažeidimais skelbiami nuo teisėsaugos institucijų ar teismo nesislapstančio įtariamojo padarius nusikaltimą, kaltinamojo, teisiamojo, nuteistojo ar nuo nusikalstamo</w:t>
      </w:r>
      <w:r>
        <w:rPr>
          <w:color w:val="000000"/>
        </w:rPr>
        <w:t xml:space="preserve">s veikos arba kitų teisės pažeidimų nukentėjusio nepilnamečio asmens duomenys, pagal kuriuos galima nustatyti jo asmens tapatybę;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skelbiami save sužalojusio ar mėginusio tai padaryti, nusižudžiusio ar mėginusio nusižudyti nepilnamečio asmens duomen</w:t>
      </w:r>
      <w:r>
        <w:rPr>
          <w:color w:val="000000"/>
        </w:rPr>
        <w:t>ys, pagal kuriuos galima nustatyti jo asmens tapatybę;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pateikiant duomenis apie nepilnametį, žeminamas jo orumas ir (ar) pažeidžiami jo interesai;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piktnaudžiaujant nepilnamečių pasitikėjimu ir nepatyrimu, neigiamų socialinių reiškinių konteks</w:t>
      </w:r>
      <w:r>
        <w:rPr>
          <w:color w:val="000000"/>
        </w:rPr>
        <w:t>te pateikiamos nepilnamečių nuomonės ir vertinimai, taip pat jų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nuotraukos ar filmuota medžiaga apie juos.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Viešai skelbti šio straipsnio 1 dalyje apibrėžtą informaciją yra draudžiama.</w:t>
      </w:r>
    </w:p>
    <w:p w:rsidR="00047B80" w:rsidRDefault="00EB7CC5">
      <w:pPr>
        <w:ind w:firstLine="708"/>
      </w:pPr>
    </w:p>
    <w:p w:rsidR="00047B80" w:rsidRDefault="00EB7CC5">
      <w:pPr>
        <w:ind w:left="2410" w:hanging="1701"/>
        <w:jc w:val="both"/>
        <w:rPr>
          <w:b/>
        </w:rPr>
      </w:pPr>
      <w:r>
        <w:rPr>
          <w:b/>
        </w:rPr>
        <w:t>6</w:t>
      </w:r>
      <w:r>
        <w:rPr>
          <w:b/>
        </w:rPr>
        <w:t xml:space="preserve"> straipsnis. </w:t>
      </w:r>
      <w:r>
        <w:rPr>
          <w:b/>
        </w:rPr>
        <w:t>Viešosios informacijos nepriskyrimas neigi</w:t>
      </w:r>
      <w:r>
        <w:rPr>
          <w:b/>
        </w:rPr>
        <w:t>amą poveikį nepilnamečių vystymuisi darančios informacijos kategorijai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Viešoji informacija gali būti nepriskirta neigiamą poveikį nepilnamečių vystymuisi darančios informacijos kategorijai, jei ji atitinka šio Įstatymo 4 straipsnio 1 dalies 1–10 punktuos</w:t>
      </w:r>
      <w:r>
        <w:rPr>
          <w:color w:val="000000"/>
        </w:rPr>
        <w:t>e apibrėžtus kriterijus, tačiau: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) jos turinį sudaro tik informacija apie įvykius, politinius, socialinius, religinius įsitikinimus ar pasaulėžiūrą;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ši informacija yra reikšminga moksliniu ar meniniu požiūriu arba reikalinga tyrimams ar mokymui;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yra viešas interesas ją skelbti;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jos apimtis ir poveikis yra mažareikšmiai.</w:t>
      </w:r>
    </w:p>
    <w:p w:rsidR="00047B80" w:rsidRDefault="00EB7CC5">
      <w:pPr>
        <w:ind w:firstLine="708"/>
      </w:pPr>
    </w:p>
    <w:p w:rsidR="00047B80" w:rsidRDefault="00EB7CC5">
      <w:pPr>
        <w:ind w:left="2410" w:hanging="1701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 straipsnis. </w:t>
      </w:r>
      <w:r>
        <w:rPr>
          <w:b/>
        </w:rPr>
        <w:t>Draudimas ir ribojimas skelbti bei platinti neigiamą poveikį darančią informaciją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Šio Įstatymo 4 straipsnio 1 dalies 1–10 punktuose api</w:t>
      </w:r>
      <w:r>
        <w:rPr>
          <w:color w:val="000000"/>
        </w:rPr>
        <w:t>brėžtą informaciją draudžiama tiesiogiai skelbti ar platinti nepilnamečiams – jiems siūlyti, perleisti ar kitaip leisti asmeniškai ja naudotis. Tokia viešoji informacija gali būti skelbiama tik vietose, į kurias nepilnamečiai negali patekti, ir (arba) toki</w:t>
      </w:r>
      <w:r>
        <w:rPr>
          <w:color w:val="000000"/>
        </w:rPr>
        <w:t>u laiku, kuriuo nepilnamečiai negalėtų ja naudotis, arba kai naudojant technines priemones yra sudaromos sąlygos atsakingiems už vaikų auklėjimą ir priežiūrą asmenims užtikrinti galimybę riboti tokios viešosios informacijos pasiūlą nepilnamečiams.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>Programos ir laidos, atitinkančios šio Įstatymo 4 straipsnio 1 dalies 1–9 punktuose numatytus vieną ar kelis kriterijus ir priskirtos viešosios informacijos, kuri ribojama skelbti ar platinti, kategorijai, transliuojamos tik nuo 23 iki 6 valandos arba naud</w:t>
      </w:r>
      <w:r>
        <w:rPr>
          <w:color w:val="000000"/>
        </w:rPr>
        <w:t>ojamos techninės priemonės, sudarančios sąlygas atsakingiems už vaikų auklėjimą ir priežiūrą asmenims užtikrinti galimybę riboti tokių programų ir laidų pasiūlą nepilnamečiams. Jeigu tokios programos ir laidos transliuojamos nuo 23 iki 6 valandos nenaudoja</w:t>
      </w:r>
      <w:r>
        <w:rPr>
          <w:color w:val="000000"/>
        </w:rPr>
        <w:t>nt minėtų techninių priemonių, apie jų transliavimą turi būti pranešinėjama garso ir (arba) vaizdo priemonėmis viso laidos transliavimo metu.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Neigiamą poveikį nepilnamečių vystymuisi darančios informacijos, priskirtos viešosios informacijos, kuri ri</w:t>
      </w:r>
      <w:r>
        <w:rPr>
          <w:color w:val="000000"/>
        </w:rPr>
        <w:t>bojama skelbti ir platinti, kategorijai, skelbimo ir platinimo tvarką bei šiame straipsnyje numatytų garso ir vaizdo priemonių sistemą nustato Vyriausybė.</w:t>
      </w:r>
    </w:p>
    <w:p w:rsidR="00047B80" w:rsidRDefault="00EB7CC5">
      <w:pPr>
        <w:ind w:firstLine="708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Reklama ir anonsai (savireklama)</w:t>
      </w:r>
    </w:p>
    <w:p w:rsidR="00047B80" w:rsidRDefault="00EB7CC5">
      <w:pPr>
        <w:ind w:firstLine="708"/>
        <w:jc w:val="both"/>
        <w:rPr>
          <w:i/>
          <w:strike/>
          <w:color w:val="000000"/>
        </w:rPr>
      </w:pPr>
      <w:r>
        <w:rPr>
          <w:color w:val="000000"/>
        </w:rPr>
        <w:t>Apribojimai, nustatyti neigiamą poveikį nepil</w:t>
      </w:r>
      <w:r>
        <w:rPr>
          <w:color w:val="000000"/>
        </w:rPr>
        <w:t>namečių vystymuisi priskirtai viešajai informacijai, taikomi taip pat reklamai, savireklamai, anonsams, ir prekių ženklams.</w:t>
      </w:r>
    </w:p>
    <w:p w:rsidR="00047B80" w:rsidRDefault="00EB7CC5">
      <w:pPr>
        <w:ind w:firstLine="708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Institucijos, atsakingos už šio Įstatymo nuostatų įgyvendinimą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Įstatymo nuostatų įgyvendinimo priežiūrą </w:t>
      </w:r>
      <w:r>
        <w:rPr>
          <w:color w:val="000000"/>
        </w:rPr>
        <w:t>atlieka žurnalistų etikos inspektorius (toliau – inspektorius).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Inspektorius: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rūpinasi šio Įstatymo nuostatų įgyvendinimu ir prižiūri, kaip jų laikomasi;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analizuoja šio Įstatymo taikymą;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inicijuoja, kad viešosios informacijos reng</w:t>
      </w:r>
      <w:r>
        <w:rPr>
          <w:color w:val="000000"/>
        </w:rPr>
        <w:t xml:space="preserve">ėjai, platintojai, jų savininkai, žurnalistai prisiimtų savireguliacija paremtus savanoriškus įsipareigojimus dėl nepilnamečių apsaugos nuo neigiamo viešosios informacijos poveikio;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bendradarbiauja su visomis valstybinės ir savivaldybių institucijo</w:t>
      </w:r>
      <w:r>
        <w:rPr>
          <w:color w:val="000000"/>
        </w:rPr>
        <w:t>mis bei įstaigomis ir kitais juridiniais asmenimis, siekdamas užtikrinti šio Įstatymo nuostatų įgyvendinimą;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teikia rekomendacijas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viešosios informacijos rengėjams, platintojams, jų savininkams, žurnalistams ir kitiems suinteresuotiems asmenims dėl </w:t>
      </w:r>
      <w:r>
        <w:rPr>
          <w:color w:val="000000"/>
        </w:rPr>
        <w:t>šio Įstatymo nuostatų taikymo;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) atsižvelgdamas į savireguliacijos institucijų bei ekspertų išvadas, parengia neigiamą poveikį nepilnamečių vystymuisi darančios viešosios informacijos žymėjimo, garso ir vaizdo priemonių sistemą;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rengia ir teik</w:t>
      </w:r>
      <w:r>
        <w:rPr>
          <w:color w:val="000000"/>
        </w:rPr>
        <w:t>ia atsakingoms institucijoms teisės aktų, susijusių su šio Įstatymo nuostatų įgyvendinimu, projektus;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nagrinėja skundus dėl šio Įstatymo nuostatų pažeidimų ar nesilaikymo;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) skelbia savo sprendimus „Valstybės žinių“ priede „Informaciniai </w:t>
      </w:r>
      <w:r>
        <w:rPr>
          <w:color w:val="000000"/>
        </w:rPr>
        <w:t>pranešimai“;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) kasmet iki kovo 15 dienos skelbia savo veiklos ataskaitą ir kas dveji metai parengia analitinę medžiagą dėl šio Įstatymo nuostatų įgyvendinimo.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Inspektorius, atlikdamas šio straipsnio 2 dalyje nurodytas funkcijas, turi teisę: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įspėti viešosios informacijos rengėjus, platintojus, jų savininkus, žurnalistus bei kitus asmenis apie šio Įstatymo pažeidimus ir reikalauti laikytis šio Įstatymo bei su juo susijusių kitų teisės aktų nuostatų ir susitarimų;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viešai paskelbti, k</w:t>
      </w:r>
      <w:r>
        <w:rPr>
          <w:color w:val="000000"/>
        </w:rPr>
        <w:t>ad konkretūs informacijos rengėjai, platintojai, jų savininkai, žurnalistai ar kiti asmenys nesilaiko šio Įstatymo nuostatų ar tarpusavio susitarimų;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administracine tvarka nubausti viešosios informacijos rengėjus, platintojus, jų savininkus, žurnali</w:t>
      </w:r>
      <w:r>
        <w:rPr>
          <w:color w:val="000000"/>
        </w:rPr>
        <w:t>stus bei kitus asmenis už šio Įstatymo pažeidimus;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kreiptis į atitinkamas institucijas, kad jos pagal savo kompetenciją šio Įstatymo pažeidėjams taikytų atsakomybės priemones;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esant nusikaltimų, susijusių su šio Įstatymo nuostatomis, požymių,</w:t>
      </w:r>
      <w:r>
        <w:rPr>
          <w:color w:val="000000"/>
        </w:rPr>
        <w:t xml:space="preserve"> kreiptis į teisėsaugos institucijas dėl baudžiamosios bylos iškėlimo;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nemokamai gauti iš viešosios informacijos rengėjų ir platintojų, valstybės ir savivaldybių institucijų bei įstaigų, už šio Įstatymo nuostatų įgyvendinimo priežiūrą atsakingų inst</w:t>
      </w:r>
      <w:r>
        <w:rPr>
          <w:color w:val="000000"/>
        </w:rPr>
        <w:t>itucijų informaciją, būtiną inspektoriaus funkcijoms atlikti, taip pat naudotis Lietuvos radijo ir televizijos komisijos informacijos stebėsenos (monitoringo) duomenimis.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Inspektoriaus sprendimai per 30 dienų gali būti skundžiami teismui.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</w:t>
      </w:r>
      <w:r>
        <w:rPr>
          <w:color w:val="000000"/>
        </w:rPr>
        <w:t xml:space="preserve"> inspektorių su pranešimais ar skundais apie šio Įstatymo pažeidimus gali kreiptis visi suinteresuoti fiziniai ar juridiniai asmenys.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Prie inspektoriaus veikia nepriekaištingos reputacijos, specialių žinių turinčių ekspertų grupė (iki 9 žmonių), kur</w:t>
      </w:r>
      <w:r>
        <w:rPr>
          <w:color w:val="000000"/>
        </w:rPr>
        <w:t>i vertina viešosios informacijos poveikį nepilnamečiams ir teikia savo išvadas inspektoriui. Ekspertus skiria inspektorius, atsižvelgdamas į institucijų, išvardytų šio straipsnio 7 dalyje, pasiūlymus. Ekspertų grupė veikia rotacijos principu pagal pačių pr</w:t>
      </w:r>
      <w:r>
        <w:rPr>
          <w:color w:val="000000"/>
        </w:rPr>
        <w:t xml:space="preserve">iimtą ir inspektoriaus patvirtintą veiklos reglamentą. Ekspertų veikla finansuojama iš valstybės biudžeto.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Už šio Įstatymo nuostatų įgyvendinimo priežiūrą pagal savo kompetenciją taip pat yra atsakingos: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) Lietuvos radijo ir televizijos taryba; 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Lietuvos radijo ir televizijos komisija;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Kultūros ministerija;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Lietuvos žurnalistų ir leidėjų etikos komisija;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Vaiko teisių apsaugos kontrolieriaus įstaiga.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Šio straipsnio 7 dalyje išvardytos institucijos gali kreiptis</w:t>
      </w:r>
      <w:r>
        <w:rPr>
          <w:color w:val="000000"/>
        </w:rPr>
        <w:t xml:space="preserve"> į inspektorių dėl viešosios informacijos priskyrimo informacijos, kuri daro neigiamą poveikį nepilnamečių vystymuisi, kategorijai, bendradarbiauja, keičiasi informacija ir pagal savo kompetenciją taiko atsakomybę šio Įstatymo nuostatų nesilaikantiems fizi</w:t>
      </w:r>
      <w:r>
        <w:rPr>
          <w:color w:val="000000"/>
        </w:rPr>
        <w:t>niams ar juridiniams asmenims.</w:t>
      </w:r>
    </w:p>
    <w:p w:rsidR="00047B80" w:rsidRDefault="00EB7CC5">
      <w:pPr>
        <w:ind w:firstLine="708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Atsakomybė už šio Įstatymo nuostatų pažeidimus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Už šio Įstatymo nuostatų pažeidimus atsakomybė taikoma įstatymų nustatyta tvarka.</w:t>
      </w:r>
    </w:p>
    <w:p w:rsidR="00047B80" w:rsidRDefault="00EB7CC5">
      <w:pPr>
        <w:ind w:firstLine="708"/>
      </w:pPr>
    </w:p>
    <w:p w:rsidR="00047B80" w:rsidRDefault="00EB7C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Pasiūlymai Vyriausybei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Vyriausybė iki 2002 m. </w:t>
      </w:r>
      <w:r>
        <w:rPr>
          <w:color w:val="000000"/>
        </w:rPr>
        <w:t>lapkričio 1 d.: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parengia šiam Įstatymui įgyvendinti būtinus Administracinių teisės pažeidimų kodekso papildymus;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nustato neigiamą poveikį nepilnamečių vystymuisi darančios informacijos, priskirtos viešosios informacijos kategorijai, kuri riboja</w:t>
      </w:r>
      <w:r>
        <w:rPr>
          <w:color w:val="000000"/>
        </w:rPr>
        <w:t>ma skelbti ir platinti, skelbimo ir platinimo tvarką bei šio Įstatymo 7 straipsnio 2 dalyje numatytų garso ir vaizdo priemonių sistemą;</w:t>
      </w:r>
    </w:p>
    <w:p w:rsidR="00047B80" w:rsidRDefault="00EB7C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priima kitus šio Įstatymo lydimuosius teisės aktus.</w:t>
      </w:r>
    </w:p>
    <w:p w:rsidR="00047B80" w:rsidRDefault="00047B80">
      <w:pPr>
        <w:ind w:firstLine="708"/>
      </w:pPr>
    </w:p>
    <w:p w:rsidR="00047B80" w:rsidRDefault="00EB7CC5"/>
    <w:p w:rsidR="00047B80" w:rsidRDefault="00EB7CC5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:rsidR="00047B80" w:rsidRDefault="00047B80">
      <w:pPr>
        <w:ind w:firstLine="708"/>
      </w:pPr>
    </w:p>
    <w:p w:rsidR="00EB7CC5" w:rsidRDefault="00EB7CC5">
      <w:pPr>
        <w:ind w:firstLine="708"/>
      </w:pPr>
    </w:p>
    <w:p w:rsidR="00EB7CC5" w:rsidRDefault="00EB7CC5">
      <w:pPr>
        <w:ind w:firstLine="708"/>
      </w:pPr>
    </w:p>
    <w:p w:rsidR="00047B80" w:rsidRDefault="00EB7CC5" w:rsidP="00EB7CC5">
      <w:pPr>
        <w:tabs>
          <w:tab w:val="right" w:pos="9356"/>
        </w:tabs>
      </w:pPr>
      <w:r>
        <w:t>RESPUBLIKOS PREZIDENTAS</w:t>
      </w:r>
      <w:r>
        <w:tab/>
        <w:t>VALDAS ADAMKUS</w:t>
      </w:r>
    </w:p>
    <w:p w:rsidR="00047B80" w:rsidRDefault="00EB7CC5">
      <w:pPr>
        <w:tabs>
          <w:tab w:val="right" w:pos="8730"/>
        </w:tabs>
        <w:jc w:val="center"/>
        <w:rPr>
          <w:color w:val="000000"/>
        </w:rPr>
      </w:pPr>
    </w:p>
    <w:sectPr w:rsidR="00047B80" w:rsidSect="00EB7CC5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80" w:rsidRDefault="00EB7CC5">
      <w:r>
        <w:separator/>
      </w:r>
    </w:p>
  </w:endnote>
  <w:endnote w:type="continuationSeparator" w:id="0">
    <w:p w:rsidR="00047B80" w:rsidRDefault="00EB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80" w:rsidRDefault="00EB7CC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047B80" w:rsidRDefault="00047B80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80" w:rsidRDefault="00047B8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80" w:rsidRDefault="00EB7CC5">
      <w:r>
        <w:separator/>
      </w:r>
    </w:p>
  </w:footnote>
  <w:footnote w:type="continuationSeparator" w:id="0">
    <w:p w:rsidR="00047B80" w:rsidRDefault="00EB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80" w:rsidRDefault="00EB7CC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047B80" w:rsidRDefault="00047B8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80" w:rsidRDefault="00EB7CC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:rsidR="00047B80" w:rsidRDefault="00047B8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80" w:rsidRDefault="00047B8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18"/>
    <w:rsid w:val="00047B80"/>
    <w:rsid w:val="003B7618"/>
    <w:rsid w:val="00E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header" Target="header3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7494</Words>
  <Characters>4273</Characters>
  <Application>Microsoft Office Word</Application>
  <DocSecurity>0</DocSecurity>
  <Lines>35</Lines>
  <Paragraphs>23</Paragraphs>
  <ScaleCrop>false</ScaleCrop>
  <Company/>
  <LinksUpToDate>false</LinksUpToDate>
  <CharactersWithSpaces>11744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2015-07-03T14:03:00Z</dcterms:created>
  <dc:creator>User</dc:creator>
  <lastModifiedBy>TRAPINSKIENĖ Aušrinė</lastModifiedBy>
  <dcterms:modified xsi:type="dcterms:W3CDTF">2021-01-29T13:44:00Z</dcterms:modified>
  <revision>3</revision>
</coreProperties>
</file>