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769EA" w14:textId="77777777" w:rsidR="00845D60" w:rsidRDefault="00845D60">
      <w:pPr>
        <w:tabs>
          <w:tab w:val="center" w:pos="4153"/>
          <w:tab w:val="right" w:pos="8306"/>
        </w:tabs>
        <w:rPr>
          <w:lang w:val="en-GB"/>
        </w:rPr>
      </w:pPr>
    </w:p>
    <w:p w14:paraId="5E1769EB" w14:textId="77777777" w:rsidR="00845D60" w:rsidRDefault="007A4056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5E176A0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 w:rsidR="003F63A9">
        <w:rPr>
          <w:caps/>
        </w:rPr>
        <w:t>Lietuvos Respublikos Vyriausybė</w:t>
      </w:r>
    </w:p>
    <w:p w14:paraId="5E1769EC" w14:textId="77777777" w:rsidR="00845D60" w:rsidRDefault="003F63A9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5E1769ED" w14:textId="77777777" w:rsidR="00845D60" w:rsidRDefault="00845D60">
      <w:pPr>
        <w:widowControl w:val="0"/>
        <w:jc w:val="center"/>
        <w:outlineLvl w:val="1"/>
        <w:rPr>
          <w:caps/>
        </w:rPr>
      </w:pPr>
    </w:p>
    <w:p w14:paraId="5E1769EE" w14:textId="1F150FFE" w:rsidR="00845D60" w:rsidRDefault="003F63A9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2002 M. BIRŽELIO 13 D. NUTARIMO</w:t>
      </w:r>
      <w:r w:rsidR="007A4056">
        <w:rPr>
          <w:b/>
        </w:rPr>
        <w:t xml:space="preserve"> </w:t>
      </w:r>
      <w:bookmarkStart w:id="0" w:name="_GoBack"/>
      <w:bookmarkEnd w:id="0"/>
      <w:r>
        <w:rPr>
          <w:b/>
        </w:rPr>
        <w:t>NR. 900 „DĖL PRIEMONIŲ MOKESTINIŲ PRIEVOLIŲ ĮVYKDYMUI UŽTIKRINTI“ PAKEITIMO</w:t>
      </w:r>
    </w:p>
    <w:p w14:paraId="5E1769EF" w14:textId="77777777" w:rsidR="00845D60" w:rsidRDefault="00845D60"/>
    <w:p w14:paraId="5E1769F0" w14:textId="77777777" w:rsidR="00845D60" w:rsidRDefault="003F63A9">
      <w:pPr>
        <w:jc w:val="center"/>
      </w:pPr>
      <w:r>
        <w:t>2010 m. gegužės 19 d. Nr. 579</w:t>
      </w:r>
    </w:p>
    <w:p w14:paraId="5E1769F1" w14:textId="77777777" w:rsidR="00845D60" w:rsidRDefault="003F63A9">
      <w:pPr>
        <w:jc w:val="center"/>
      </w:pPr>
      <w:r>
        <w:t>Vilnius</w:t>
      </w:r>
    </w:p>
    <w:p w14:paraId="5E1769F2" w14:textId="77777777" w:rsidR="00845D60" w:rsidRDefault="00845D60">
      <w:pPr>
        <w:jc w:val="center"/>
      </w:pPr>
    </w:p>
    <w:p w14:paraId="5E1769F3" w14:textId="77777777" w:rsidR="00845D60" w:rsidRDefault="003F63A9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5E1769F4" w14:textId="77777777" w:rsidR="00845D60" w:rsidRDefault="007A4056">
      <w:pPr>
        <w:ind w:firstLine="567"/>
        <w:jc w:val="both"/>
      </w:pPr>
      <w:r w:rsidR="003F63A9">
        <w:t>1</w:t>
      </w:r>
      <w:r w:rsidR="003F63A9">
        <w:t xml:space="preserve">. Pakeisti Lietuvos Respublikos Vyriausybės 2002 m. birželio 13 d. nutarimą Nr. 900 „Dėl priemonių mokestinių prievolių įvykdymui užtikrinti“ (Žin., 2002, Nr. </w:t>
      </w:r>
      <w:hyperlink r:id="rId10" w:tgtFrame="_blank" w:history="1">
        <w:r w:rsidR="003F63A9">
          <w:rPr>
            <w:color w:val="0000FF" w:themeColor="hyperlink"/>
            <w:u w:val="single"/>
          </w:rPr>
          <w:t>60-2461</w:t>
        </w:r>
      </w:hyperlink>
      <w:r w:rsidR="003F63A9">
        <w:t>; 2007, Nr. </w:t>
      </w:r>
      <w:hyperlink r:id="rId11" w:tgtFrame="_blank" w:history="1">
        <w:r w:rsidR="003F63A9">
          <w:rPr>
            <w:color w:val="0000FF" w:themeColor="hyperlink"/>
            <w:u w:val="single"/>
          </w:rPr>
          <w:t>138-5658</w:t>
        </w:r>
      </w:hyperlink>
      <w:r w:rsidR="003F63A9">
        <w:t>):</w:t>
      </w:r>
    </w:p>
    <w:p w14:paraId="5E1769F5" w14:textId="77777777" w:rsidR="00845D60" w:rsidRDefault="007A4056">
      <w:pPr>
        <w:ind w:firstLine="567"/>
        <w:jc w:val="both"/>
      </w:pPr>
      <w:r w:rsidR="003F63A9">
        <w:t>1.1</w:t>
      </w:r>
      <w:r w:rsidR="003F63A9">
        <w:t>. Išdėstyti preambulę taip:</w:t>
      </w:r>
    </w:p>
    <w:p w14:paraId="5E1769F6" w14:textId="77777777" w:rsidR="00845D60" w:rsidRDefault="003F63A9">
      <w:pPr>
        <w:ind w:firstLine="567"/>
        <w:jc w:val="both"/>
      </w:pPr>
      <w:r>
        <w:t xml:space="preserve">„Vadovaudamasi Lietuvos Respublikos </w:t>
      </w:r>
      <w:r>
        <w:rPr>
          <w:iCs/>
        </w:rPr>
        <w:t>pridėtinės vertės mokesčio įstatymo</w:t>
      </w:r>
      <w:r>
        <w:t xml:space="preserve"> (Žin., 2002, Nr. </w:t>
      </w:r>
      <w:hyperlink r:id="rId12" w:tgtFrame="_blank" w:history="1">
        <w:r>
          <w:rPr>
            <w:iCs/>
            <w:color w:val="0000FF" w:themeColor="hyperlink"/>
            <w:u w:val="single"/>
          </w:rPr>
          <w:t>35-1271</w:t>
        </w:r>
      </w:hyperlink>
      <w:r>
        <w:t>; 2004, Nr. </w:t>
      </w:r>
      <w:hyperlink r:id="rId13" w:tgtFrame="_blank" w:history="1">
        <w:r>
          <w:rPr>
            <w:iCs/>
            <w:color w:val="0000FF" w:themeColor="hyperlink"/>
            <w:u w:val="single"/>
          </w:rPr>
          <w:t>17-505</w:t>
        </w:r>
      </w:hyperlink>
      <w:r>
        <w:t>; 2006, Nr. </w:t>
      </w:r>
      <w:hyperlink r:id="rId14" w:tgtFrame="_blank" w:history="1">
        <w:r>
          <w:rPr>
            <w:iCs/>
            <w:color w:val="0000FF" w:themeColor="hyperlink"/>
            <w:u w:val="single"/>
          </w:rPr>
          <w:t>137-5203</w:t>
        </w:r>
      </w:hyperlink>
      <w:r>
        <w:t xml:space="preserve">) </w:t>
      </w:r>
      <w:r>
        <w:rPr>
          <w:iCs/>
        </w:rPr>
        <w:t>84</w:t>
      </w:r>
      <w:r>
        <w:t xml:space="preserve"> straipsnio 6 dalimi ir </w:t>
      </w:r>
      <w:r>
        <w:rPr>
          <w:iCs/>
          <w:spacing w:val="-4"/>
        </w:rPr>
        <w:t>96</w:t>
      </w:r>
      <w:r>
        <w:rPr>
          <w:spacing w:val="-4"/>
        </w:rPr>
        <w:t> straipsnio 1 dalimi ir įgyvendindama 2006 m. lapkričio 28 d. Tarybos direktyvą 2006/112/EB</w:t>
      </w:r>
      <w:r>
        <w:t xml:space="preserve"> dėl pridėtinės vertės mokesčio bendros sistemos (OL 2006 L 347, p. 1) su paskutiniais pakeitimais, padarytais 2009 m. gruodžio 22 d. Tarybos direktyva 2009/162/EB (OL 2010 L 10, p. 14), ir</w:t>
      </w:r>
      <w:r>
        <w:rPr>
          <w:b/>
        </w:rPr>
        <w:t xml:space="preserve"> </w:t>
      </w:r>
      <w:r>
        <w:rPr>
          <w:bCs/>
        </w:rPr>
        <w:t xml:space="preserve">2010 m. vasario 16 d. Tarybos įgyvendinimo sprendimą </w:t>
      </w:r>
      <w:r>
        <w:t>2010/99/ES</w:t>
      </w:r>
      <w:r>
        <w:rPr>
          <w:bCs/>
        </w:rPr>
        <w:t xml:space="preserve"> leisti </w:t>
      </w:r>
      <w:r>
        <w:rPr>
          <w:spacing w:val="-4"/>
        </w:rPr>
        <w:t>Lietuvos Respublikai toliau taikyti priemonę, kuria nukrypstama nuo Direktyvos 2006/112/EB</w:t>
      </w:r>
      <w:r>
        <w:rPr>
          <w:bCs/>
        </w:rPr>
        <w:t xml:space="preserve"> dėl pridėtinės vertės mokesčio bendros sistemos 193 straipsnio (OL 2010 L 45, p. 10)</w:t>
      </w:r>
      <w:r>
        <w:t>,</w:t>
      </w:r>
      <w:r>
        <w:rPr>
          <w:b/>
        </w:rPr>
        <w:t xml:space="preserve"> </w:t>
      </w:r>
      <w:r>
        <w:t xml:space="preserve">Lietuvos Respublikos </w:t>
      </w:r>
      <w:r>
        <w:rPr>
          <w:bCs/>
        </w:rPr>
        <w:t>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a:“.</w:t>
      </w:r>
    </w:p>
    <w:p w14:paraId="5E1769F7" w14:textId="77777777" w:rsidR="00845D60" w:rsidRDefault="007A4056">
      <w:pPr>
        <w:ind w:firstLine="567"/>
        <w:jc w:val="both"/>
      </w:pPr>
      <w:r w:rsidR="003F63A9">
        <w:t>1.2</w:t>
      </w:r>
      <w:r w:rsidR="003F63A9">
        <w:t>. Papildyti šiuo 2 punktu:</w:t>
      </w:r>
    </w:p>
    <w:p w14:paraId="5E1769F8" w14:textId="77777777" w:rsidR="00845D60" w:rsidRDefault="003F63A9">
      <w:pPr>
        <w:ind w:firstLine="567"/>
        <w:jc w:val="both"/>
      </w:pPr>
      <w:r>
        <w:t>„</w:t>
      </w:r>
      <w:r>
        <w:t>2</w:t>
      </w:r>
      <w:r>
        <w:t>. Šiuo nutarimu patvirtinto Atvejų, kai pridėtinės vertės mokestį už tiekiamas prekes (teikiamas paslaugas) išskaito ir sumoka pirkėjas (klientas) aprašo 1.1 ir 1.3 punktai galioja iki 2012 m. gruodžio 31 dienos.“</w:t>
      </w:r>
    </w:p>
    <w:p w14:paraId="5E1769F9" w14:textId="77777777" w:rsidR="00845D60" w:rsidRDefault="007A4056">
      <w:pPr>
        <w:ind w:firstLine="567"/>
        <w:jc w:val="both"/>
      </w:pPr>
      <w:r w:rsidR="003F63A9">
        <w:t>1.3</w:t>
      </w:r>
      <w:r w:rsidR="003F63A9">
        <w:t>. Nurodytu nutarimu patvirtintame Atvejų, kai pridėtinės vertės mokestį už tiekiamas prekes (teikiamas paslaugas) išskaito ir sumoka pirkėjas (klientas), apraše:</w:t>
      </w:r>
    </w:p>
    <w:p w14:paraId="5E1769FA" w14:textId="77777777" w:rsidR="00845D60" w:rsidRDefault="007A4056">
      <w:pPr>
        <w:ind w:firstLine="567"/>
        <w:jc w:val="both"/>
      </w:pPr>
      <w:r w:rsidR="003F63A9">
        <w:t>1.3.1</w:t>
      </w:r>
      <w:r w:rsidR="003F63A9">
        <w:t>. išdėstyti 1.1 punktą taip:</w:t>
      </w:r>
    </w:p>
    <w:p w14:paraId="5E1769FB" w14:textId="77777777" w:rsidR="00845D60" w:rsidRDefault="003F63A9">
      <w:pPr>
        <w:ind w:firstLine="567"/>
        <w:jc w:val="both"/>
        <w:rPr>
          <w:strike/>
        </w:rPr>
      </w:pPr>
      <w:r>
        <w:t>„</w:t>
      </w:r>
      <w:r>
        <w:t>1.1</w:t>
      </w:r>
      <w:r>
        <w:t>. prekių tiekėjui (paslaugų teikėjui) teisme pradėta bankroto procedūra arba;“;</w:t>
      </w:r>
    </w:p>
    <w:p w14:paraId="5E1769FC" w14:textId="77777777" w:rsidR="00845D60" w:rsidRDefault="007A4056">
      <w:pPr>
        <w:ind w:firstLine="567"/>
        <w:jc w:val="both"/>
      </w:pPr>
      <w:r w:rsidR="003F63A9">
        <w:t>1.3.2</w:t>
      </w:r>
      <w:r w:rsidR="003F63A9">
        <w:t>. išdėstyti 1.3 punktą taip:</w:t>
      </w:r>
    </w:p>
    <w:p w14:paraId="5E1769FD" w14:textId="77777777" w:rsidR="00845D60" w:rsidRDefault="003F63A9">
      <w:pPr>
        <w:ind w:firstLine="567"/>
        <w:jc w:val="both"/>
      </w:pPr>
      <w:r>
        <w:t>„</w:t>
      </w:r>
      <w:r>
        <w:t>1.3</w:t>
      </w:r>
      <w:r>
        <w:t>. tiekiama mediena:</w:t>
      </w:r>
    </w:p>
    <w:p w14:paraId="5E1769FE" w14:textId="77777777" w:rsidR="00845D60" w:rsidRDefault="007A4056">
      <w:pPr>
        <w:ind w:firstLine="567"/>
        <w:jc w:val="both"/>
      </w:pPr>
      <w:r w:rsidR="003F63A9">
        <w:t>1.3.1</w:t>
      </w:r>
      <w:r w:rsidR="003F63A9">
        <w:t>. rąstai – skersai atpjautos apvaliosios medienos dalys;</w:t>
      </w:r>
    </w:p>
    <w:p w14:paraId="5E1769FF" w14:textId="77777777" w:rsidR="00845D60" w:rsidRDefault="007A4056">
      <w:pPr>
        <w:ind w:firstLine="567"/>
        <w:jc w:val="both"/>
      </w:pPr>
      <w:r w:rsidR="003F63A9">
        <w:t>1.3.2</w:t>
      </w:r>
      <w:r w:rsidR="003F63A9">
        <w:t>. lentos, lentelės – pailgi 3–40 mm storio ir ne siauresni kaip 25 mm pločio pjautinės medienos gabalai;</w:t>
      </w:r>
    </w:p>
    <w:p w14:paraId="5E176A00" w14:textId="77777777" w:rsidR="00845D60" w:rsidRDefault="007A4056">
      <w:pPr>
        <w:ind w:firstLine="567"/>
        <w:jc w:val="both"/>
        <w:rPr>
          <w:b/>
        </w:rPr>
      </w:pPr>
      <w:r w:rsidR="003F63A9">
        <w:t>1.3.3</w:t>
      </w:r>
      <w:r w:rsidR="003F63A9">
        <w:t>. tašai, tašeliai – iš dviejų, trijų ar keturių pusių lygiagrečiai su rąsto ašimi apipjauti, aptašyti ar nufrezuoti rąstai, storesni ir platesni kaip 40 mm pjautinės medienos gabalai.“</w:t>
      </w:r>
    </w:p>
    <w:p w14:paraId="5E176A03" w14:textId="4F87B406" w:rsidR="00845D60" w:rsidRDefault="007A4056" w:rsidP="003F63A9">
      <w:pPr>
        <w:ind w:firstLine="567"/>
        <w:jc w:val="both"/>
      </w:pPr>
      <w:r w:rsidR="003F63A9">
        <w:t>2</w:t>
      </w:r>
      <w:r w:rsidR="003F63A9">
        <w:t>. Šis nutarimas įsigalioja 2010 m. birželio 1 dieną.</w:t>
      </w:r>
    </w:p>
    <w:p w14:paraId="4E64DB1E" w14:textId="77777777" w:rsidR="003F63A9" w:rsidRDefault="003F63A9">
      <w:pPr>
        <w:tabs>
          <w:tab w:val="right" w:pos="9071"/>
        </w:tabs>
      </w:pPr>
    </w:p>
    <w:p w14:paraId="6B39F145" w14:textId="77777777" w:rsidR="003F63A9" w:rsidRDefault="003F63A9">
      <w:pPr>
        <w:tabs>
          <w:tab w:val="right" w:pos="9071"/>
        </w:tabs>
      </w:pPr>
    </w:p>
    <w:p w14:paraId="28E9D4E9" w14:textId="77777777" w:rsidR="003F63A9" w:rsidRDefault="003F63A9">
      <w:pPr>
        <w:tabs>
          <w:tab w:val="right" w:pos="9071"/>
        </w:tabs>
      </w:pPr>
    </w:p>
    <w:p w14:paraId="5E176A04" w14:textId="0E36E69E" w:rsidR="00845D60" w:rsidRDefault="003F63A9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5E176A05" w14:textId="77777777" w:rsidR="00845D60" w:rsidRDefault="00845D60">
      <w:pPr>
        <w:jc w:val="both"/>
      </w:pPr>
    </w:p>
    <w:p w14:paraId="2D99B740" w14:textId="77777777" w:rsidR="003F63A9" w:rsidRDefault="003F63A9">
      <w:pPr>
        <w:jc w:val="both"/>
      </w:pPr>
    </w:p>
    <w:p w14:paraId="7D17EC76" w14:textId="77777777" w:rsidR="003F63A9" w:rsidRDefault="003F63A9">
      <w:pPr>
        <w:jc w:val="both"/>
      </w:pPr>
    </w:p>
    <w:p w14:paraId="5E176A08" w14:textId="58BE2DC2" w:rsidR="00845D60" w:rsidRDefault="003F63A9" w:rsidP="003F63A9">
      <w:pPr>
        <w:tabs>
          <w:tab w:val="right" w:pos="9071"/>
        </w:tabs>
      </w:pPr>
      <w:r>
        <w:t>FINANSŲ MINISTRĖ</w:t>
      </w:r>
      <w:r>
        <w:tab/>
        <w:t>INGRIDA ŠIMONYTĖ</w:t>
      </w:r>
    </w:p>
    <w:sectPr w:rsidR="00845D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6A0C" w14:textId="77777777" w:rsidR="00845D60" w:rsidRDefault="003F63A9">
      <w:r>
        <w:separator/>
      </w:r>
    </w:p>
  </w:endnote>
  <w:endnote w:type="continuationSeparator" w:id="0">
    <w:p w14:paraId="5E176A0D" w14:textId="77777777" w:rsidR="00845D60" w:rsidRDefault="003F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6A12" w14:textId="77777777" w:rsidR="00845D60" w:rsidRDefault="00845D6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6A13" w14:textId="77777777" w:rsidR="00845D60" w:rsidRDefault="00845D6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6A15" w14:textId="77777777" w:rsidR="00845D60" w:rsidRDefault="00845D6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6A0A" w14:textId="77777777" w:rsidR="00845D60" w:rsidRDefault="003F63A9">
      <w:r>
        <w:separator/>
      </w:r>
    </w:p>
  </w:footnote>
  <w:footnote w:type="continuationSeparator" w:id="0">
    <w:p w14:paraId="5E176A0B" w14:textId="77777777" w:rsidR="00845D60" w:rsidRDefault="003F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6A0E" w14:textId="77777777" w:rsidR="00845D60" w:rsidRDefault="003F63A9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5E176A0F" w14:textId="77777777" w:rsidR="00845D60" w:rsidRDefault="00845D60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6A10" w14:textId="77777777" w:rsidR="00845D60" w:rsidRDefault="003F63A9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5E176A11" w14:textId="77777777" w:rsidR="00845D60" w:rsidRDefault="00845D60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6A14" w14:textId="77777777" w:rsidR="00845D60" w:rsidRDefault="00845D6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59"/>
    <w:rsid w:val="00267459"/>
    <w:rsid w:val="003F63A9"/>
    <w:rsid w:val="007A4056"/>
    <w:rsid w:val="008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176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F63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F6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egalAct.html?documentId=TAR.99708D1709BB"/>
  <Relationship Id="rId11" Type="http://schemas.openxmlformats.org/officeDocument/2006/relationships/hyperlink" TargetMode="External" Target="https://www.e-tar.lt/portal/legalAct.html?documentId=TAR.4ADAA11B1532"/>
  <Relationship Id="rId12" Type="http://schemas.openxmlformats.org/officeDocument/2006/relationships/hyperlink" TargetMode="External" Target="https://www.e-tar.lt/portal/legalAct.html?documentId=TAR.ED68997709F5"/>
  <Relationship Id="rId13" Type="http://schemas.openxmlformats.org/officeDocument/2006/relationships/hyperlink" TargetMode="External" Target="https://www.e-tar.lt/portal/legalAct.html?documentId=TAR.AC724525A9B9"/>
  <Relationship Id="rId14" Type="http://schemas.openxmlformats.org/officeDocument/2006/relationships/hyperlink" TargetMode="External" Target="https://www.e-tar.lt/portal/legalAct.html?documentId=TAR.5D53ED7683B5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1826</Words>
  <Characters>1042</Characters>
  <Application>Microsoft Office Word</Application>
  <DocSecurity>0</DocSecurity>
  <Lines>8</Lines>
  <Paragraphs>5</Paragraphs>
  <ScaleCrop>false</ScaleCrop>
  <Company>LRVK</Company>
  <LinksUpToDate>false</LinksUpToDate>
  <CharactersWithSpaces>2863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2014-12-11T09:11:00Z</dcterms:created>
  <dc:creator>lrvk</dc:creator>
  <lastModifiedBy>BODIN Aušra</lastModifiedBy>
  <lastPrinted>2010-05-24T13:02:00Z</lastPrinted>
  <dcterms:modified xsi:type="dcterms:W3CDTF">2014-12-11T11:10:00Z</dcterms:modified>
  <revision>4</revision>
</coreProperties>
</file>