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382E6" w14:textId="77777777" w:rsidR="00F0446E" w:rsidRDefault="00F0446E">
      <w:pPr>
        <w:tabs>
          <w:tab w:val="center" w:pos="4153"/>
          <w:tab w:val="right" w:pos="8306"/>
        </w:tabs>
        <w:rPr>
          <w:lang w:val="en-GB"/>
        </w:rPr>
      </w:pPr>
    </w:p>
    <w:p w14:paraId="47F382E7" w14:textId="77777777" w:rsidR="00F0446E" w:rsidRDefault="00F0446E">
      <w:pPr>
        <w:tabs>
          <w:tab w:val="center" w:pos="4153"/>
          <w:tab w:val="right" w:pos="8306"/>
        </w:tabs>
        <w:rPr>
          <w:lang w:val="en-GB"/>
        </w:rPr>
      </w:pPr>
    </w:p>
    <w:p w14:paraId="47F382E8" w14:textId="77777777" w:rsidR="00F0446E" w:rsidRDefault="00ED5D66">
      <w:pPr>
        <w:jc w:val="center"/>
        <w:rPr>
          <w:b/>
        </w:rPr>
      </w:pPr>
      <w:r>
        <w:rPr>
          <w:b/>
          <w:lang w:eastAsia="lt-LT"/>
        </w:rPr>
        <w:pict w14:anchorId="47F38346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4" w:shapeid="_x0000_s1028"/>
        </w:pict>
      </w:r>
      <w:r>
        <w:rPr>
          <w:b/>
        </w:rPr>
        <w:t>LIETUVOS RESPUBLIKOS</w:t>
      </w:r>
    </w:p>
    <w:p w14:paraId="47F382E9" w14:textId="77777777" w:rsidR="00F0446E" w:rsidRDefault="00ED5D66">
      <w:pPr>
        <w:jc w:val="center"/>
        <w:rPr>
          <w:b/>
        </w:rPr>
      </w:pPr>
      <w:r>
        <w:rPr>
          <w:b/>
        </w:rPr>
        <w:t>VALSTYBINIŲ SOCIALINIO DRAUDIMO PENSIJŲ ĮSTATYMO, VALSTYBINIŲ ŠALPOS IŠMOKŲ ĮSTATYMO, MOKSLININKŲ VALSTYBINIŲ PENSIJŲ LAIKINOJO ĮSTATYMO, VALSTYBINIŲ PENSIJŲ ĮSTATYMO, VALSTYBĖS PARAMOS BŪSTUI ĮSIGYTI</w:t>
      </w:r>
      <w:r>
        <w:rPr>
          <w:b/>
        </w:rPr>
        <w:t xml:space="preserve"> AR IŠSINUOMOTI ĮSTATYMO, PINIGINĖS SOCIALINĖS PARAMOS MAŽAS PAJAMAS GAUNANČIOMS ŠEIMOMS (VIENIEMS GYVENANTIEMS ASMENIMS) ĮSTATYMO PAKEITIMO</w:t>
      </w:r>
    </w:p>
    <w:p w14:paraId="47F382EA" w14:textId="77777777" w:rsidR="00F0446E" w:rsidRDefault="00ED5D66">
      <w:pPr>
        <w:jc w:val="center"/>
        <w:rPr>
          <w:b/>
        </w:rPr>
      </w:pPr>
      <w:r>
        <w:rPr>
          <w:b/>
        </w:rPr>
        <w:t>Į S T A T Y M A S</w:t>
      </w:r>
    </w:p>
    <w:p w14:paraId="47F382EB" w14:textId="77777777" w:rsidR="00F0446E" w:rsidRDefault="00F0446E">
      <w:pPr>
        <w:jc w:val="center"/>
      </w:pPr>
    </w:p>
    <w:p w14:paraId="47F382EC" w14:textId="77777777" w:rsidR="00F0446E" w:rsidRDefault="00ED5D66">
      <w:pPr>
        <w:jc w:val="center"/>
      </w:pPr>
      <w:r>
        <w:t>2004 m. gegužės 4 d. Nr. IX-2217</w:t>
      </w:r>
    </w:p>
    <w:p w14:paraId="47F382ED" w14:textId="77777777" w:rsidR="00F0446E" w:rsidRDefault="00ED5D66">
      <w:pPr>
        <w:jc w:val="center"/>
      </w:pPr>
      <w:r>
        <w:t>Vilnius</w:t>
      </w:r>
    </w:p>
    <w:p w14:paraId="47F382EE" w14:textId="77777777" w:rsidR="00F0446E" w:rsidRDefault="00F0446E">
      <w:pPr>
        <w:jc w:val="center"/>
      </w:pPr>
    </w:p>
    <w:p w14:paraId="47F382EF" w14:textId="77777777" w:rsidR="00F0446E" w:rsidRDefault="00F0446E">
      <w:pPr>
        <w:jc w:val="center"/>
      </w:pPr>
    </w:p>
    <w:p w14:paraId="47F382F0" w14:textId="77777777" w:rsidR="00F0446E" w:rsidRDefault="00ED5D66">
      <w:pPr>
        <w:jc w:val="center"/>
        <w:rPr>
          <w:b/>
          <w:color w:val="000000"/>
        </w:rPr>
      </w:pPr>
      <w:r>
        <w:rPr>
          <w:b/>
          <w:color w:val="000000"/>
        </w:rPr>
        <w:t>PIRMASIS</w:t>
      </w:r>
      <w:r>
        <w:rPr>
          <w:b/>
          <w:color w:val="000000"/>
        </w:rPr>
        <w:t xml:space="preserve"> SKIRSNIS</w:t>
      </w:r>
    </w:p>
    <w:p w14:paraId="47F382F1" w14:textId="77777777" w:rsidR="00F0446E" w:rsidRDefault="00ED5D66">
      <w:pPr>
        <w:jc w:val="center"/>
        <w:rPr>
          <w:b/>
          <w:color w:val="000000"/>
        </w:rPr>
      </w:pPr>
      <w:r>
        <w:rPr>
          <w:b/>
          <w:color w:val="000000"/>
        </w:rPr>
        <w:t>VALSTYBINIŲ SOCIALINIO DRAUDIMO P</w:t>
      </w:r>
      <w:r>
        <w:rPr>
          <w:b/>
          <w:color w:val="000000"/>
        </w:rPr>
        <w:t xml:space="preserve">ENSIJŲ ĮSTATYMO </w:t>
      </w:r>
    </w:p>
    <w:p w14:paraId="47F382F2" w14:textId="77777777" w:rsidR="00F0446E" w:rsidRDefault="00ED5D66">
      <w:pPr>
        <w:jc w:val="center"/>
        <w:rPr>
          <w:b/>
          <w:color w:val="000000"/>
        </w:rPr>
      </w:pPr>
      <w:r>
        <w:rPr>
          <w:b/>
          <w:color w:val="000000"/>
        </w:rPr>
        <w:t>1 STRAIPSNIO PAKEITIMAS</w:t>
      </w:r>
    </w:p>
    <w:p w14:paraId="47F382F3" w14:textId="77777777" w:rsidR="00F0446E" w:rsidRDefault="00F0446E">
      <w:pPr>
        <w:ind w:firstLine="708"/>
        <w:jc w:val="both"/>
        <w:rPr>
          <w:b/>
          <w:color w:val="000000"/>
        </w:rPr>
      </w:pPr>
    </w:p>
    <w:p w14:paraId="47F382F4" w14:textId="77777777" w:rsidR="00F0446E" w:rsidRDefault="00ED5D66">
      <w:pPr>
        <w:jc w:val="center"/>
        <w:rPr>
          <w:color w:val="000000"/>
        </w:rPr>
      </w:pPr>
      <w:r>
        <w:rPr>
          <w:color w:val="000000"/>
        </w:rPr>
        <w:t>(</w:t>
      </w:r>
      <w:proofErr w:type="spellStart"/>
      <w:r>
        <w:rPr>
          <w:color w:val="000000"/>
        </w:rPr>
        <w:t>Žin</w:t>
      </w:r>
      <w:proofErr w:type="spellEnd"/>
      <w:r>
        <w:rPr>
          <w:color w:val="000000"/>
        </w:rPr>
        <w:t xml:space="preserve">., 1994, Nr. </w:t>
      </w:r>
      <w:hyperlink r:id="rId10" w:tgtFrame="_blank" w:history="1">
        <w:r>
          <w:rPr>
            <w:color w:val="0000FF" w:themeColor="hyperlink"/>
            <w:u w:val="single"/>
          </w:rPr>
          <w:t>59-1153</w:t>
        </w:r>
      </w:hyperlink>
      <w:r>
        <w:rPr>
          <w:color w:val="000000"/>
        </w:rPr>
        <w:t xml:space="preserve">; 2002, Nr. </w:t>
      </w:r>
      <w:hyperlink r:id="rId11" w:tgtFrame="_blank" w:history="1">
        <w:r>
          <w:rPr>
            <w:color w:val="0000FF" w:themeColor="hyperlink"/>
            <w:u w:val="single"/>
          </w:rPr>
          <w:t>101-4491</w:t>
        </w:r>
      </w:hyperlink>
      <w:r>
        <w:rPr>
          <w:color w:val="000000"/>
        </w:rPr>
        <w:t>; 2003, Nr</w:t>
      </w:r>
      <w:r>
        <w:rPr>
          <w:color w:val="000000"/>
        </w:rPr>
        <w:t xml:space="preserve">. </w:t>
      </w:r>
      <w:hyperlink r:id="rId12" w:tgtFrame="_blank" w:history="1">
        <w:r>
          <w:rPr>
            <w:color w:val="0000FF" w:themeColor="hyperlink"/>
            <w:u w:val="single"/>
          </w:rPr>
          <w:t>14-538</w:t>
        </w:r>
      </w:hyperlink>
      <w:r>
        <w:rPr>
          <w:color w:val="000000"/>
        </w:rPr>
        <w:t>)</w:t>
      </w:r>
    </w:p>
    <w:p w14:paraId="47F382F5" w14:textId="77777777" w:rsidR="00F0446E" w:rsidRDefault="00F0446E">
      <w:pPr>
        <w:jc w:val="center"/>
        <w:rPr>
          <w:b/>
          <w:color w:val="000000"/>
        </w:rPr>
      </w:pPr>
    </w:p>
    <w:p w14:paraId="47F382F6" w14:textId="77777777" w:rsidR="00F0446E" w:rsidRDefault="00ED5D66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1 straipsnio 2 dalies pakeitimas</w:t>
      </w:r>
    </w:p>
    <w:p w14:paraId="47F382F7" w14:textId="77777777" w:rsidR="00F0446E" w:rsidRDefault="00ED5D66">
      <w:pPr>
        <w:ind w:firstLine="708"/>
        <w:jc w:val="both"/>
        <w:rPr>
          <w:color w:val="000000"/>
        </w:rPr>
      </w:pPr>
      <w:r>
        <w:rPr>
          <w:color w:val="000000"/>
        </w:rPr>
        <w:t>Pakeisti 1 straipsnio 2 dalį ir šią dalį išdėstyti taip:</w:t>
      </w:r>
    </w:p>
    <w:p w14:paraId="47F382F8" w14:textId="77777777" w:rsidR="00F0446E" w:rsidRDefault="00ED5D66">
      <w:pPr>
        <w:ind w:firstLine="708"/>
        <w:jc w:val="both"/>
        <w:rPr>
          <w:color w:val="000000"/>
        </w:rPr>
      </w:pPr>
      <w:r>
        <w:rPr>
          <w:color w:val="000000"/>
        </w:rPr>
        <w:t>„Nuolatiniais Lietuvos Respublikos gyventojais laikomi Lie</w:t>
      </w:r>
      <w:r>
        <w:rPr>
          <w:color w:val="000000"/>
        </w:rPr>
        <w:t>tuvos Respublikos piliečiai, kurių duomenys apie gyvenamąją vietą Lietuvos Respublikoje, o neturinčių gyvenamosios vietos – apie savivaldybę, kurioje jie gyvena,</w:t>
      </w:r>
      <w:r>
        <w:rPr>
          <w:b/>
          <w:color w:val="000000"/>
        </w:rPr>
        <w:t xml:space="preserve"> </w:t>
      </w:r>
      <w:r>
        <w:rPr>
          <w:color w:val="000000"/>
        </w:rPr>
        <w:t>yra įrašyti į Lietuvos Respublikos gyventojų registrą, arba nuolat Lietuvos Respublikoje gyven</w:t>
      </w:r>
      <w:r>
        <w:rPr>
          <w:color w:val="000000"/>
        </w:rPr>
        <w:t xml:space="preserve">antys užsieniečiai.“ </w:t>
      </w:r>
    </w:p>
    <w:p w14:paraId="47F382F9" w14:textId="77777777" w:rsidR="00F0446E" w:rsidRDefault="00ED5D66"/>
    <w:p w14:paraId="47F382FA" w14:textId="77777777" w:rsidR="00F0446E" w:rsidRDefault="00ED5D66">
      <w:pPr>
        <w:jc w:val="center"/>
        <w:rPr>
          <w:b/>
          <w:color w:val="000000"/>
        </w:rPr>
      </w:pPr>
      <w:r>
        <w:rPr>
          <w:b/>
          <w:color w:val="000000"/>
        </w:rPr>
        <w:t>ANTRASIS</w:t>
      </w:r>
      <w:r>
        <w:rPr>
          <w:b/>
          <w:color w:val="000000"/>
        </w:rPr>
        <w:t xml:space="preserve"> SKIRSNIS</w:t>
      </w:r>
    </w:p>
    <w:p w14:paraId="47F382FB" w14:textId="77777777" w:rsidR="00F0446E" w:rsidRDefault="00ED5D66">
      <w:pPr>
        <w:keepNext/>
        <w:jc w:val="center"/>
        <w:outlineLvl w:val="2"/>
        <w:rPr>
          <w:b/>
          <w:color w:val="000000"/>
        </w:rPr>
      </w:pPr>
      <w:r>
        <w:rPr>
          <w:b/>
          <w:color w:val="000000"/>
        </w:rPr>
        <w:t>VALSTYBINIŲ ŠALPOS IŠMOKŲ ĮSTATYMO 1 STRAIPSNIO PAKEITIMAS</w:t>
      </w:r>
    </w:p>
    <w:p w14:paraId="47F382FC" w14:textId="77777777" w:rsidR="00F0446E" w:rsidRDefault="00F0446E">
      <w:pPr>
        <w:jc w:val="center"/>
        <w:rPr>
          <w:b/>
          <w:color w:val="000000"/>
        </w:rPr>
      </w:pPr>
    </w:p>
    <w:p w14:paraId="47F382FD" w14:textId="77777777" w:rsidR="00F0446E" w:rsidRDefault="00ED5D66">
      <w:pPr>
        <w:jc w:val="center"/>
        <w:rPr>
          <w:color w:val="000000"/>
        </w:rPr>
      </w:pPr>
      <w:r>
        <w:rPr>
          <w:color w:val="000000"/>
        </w:rPr>
        <w:t>(</w:t>
      </w:r>
      <w:proofErr w:type="spellStart"/>
      <w:r>
        <w:rPr>
          <w:color w:val="000000"/>
        </w:rPr>
        <w:t>Žin</w:t>
      </w:r>
      <w:proofErr w:type="spellEnd"/>
      <w:r>
        <w:rPr>
          <w:color w:val="000000"/>
        </w:rPr>
        <w:t xml:space="preserve">., 1994, Nr. </w:t>
      </w:r>
      <w:hyperlink r:id="rId13" w:tgtFrame="_blank" w:history="1">
        <w:r>
          <w:rPr>
            <w:color w:val="0000FF" w:themeColor="hyperlink"/>
            <w:u w:val="single"/>
          </w:rPr>
          <w:t>96-1873</w:t>
        </w:r>
      </w:hyperlink>
      <w:r>
        <w:rPr>
          <w:color w:val="000000"/>
        </w:rPr>
        <w:t xml:space="preserve">; 2004, Nr. </w:t>
      </w:r>
      <w:hyperlink r:id="rId14" w:tgtFrame="_blank" w:history="1">
        <w:r>
          <w:rPr>
            <w:color w:val="0000FF" w:themeColor="hyperlink"/>
            <w:u w:val="single"/>
          </w:rPr>
          <w:t>21-619</w:t>
        </w:r>
      </w:hyperlink>
      <w:r>
        <w:rPr>
          <w:color w:val="000000"/>
        </w:rPr>
        <w:t>)</w:t>
      </w:r>
    </w:p>
    <w:p w14:paraId="47F382FE" w14:textId="77777777" w:rsidR="00F0446E" w:rsidRDefault="00F0446E">
      <w:pPr>
        <w:jc w:val="center"/>
        <w:rPr>
          <w:color w:val="000000"/>
        </w:rPr>
      </w:pPr>
    </w:p>
    <w:p w14:paraId="47F382FF" w14:textId="77777777" w:rsidR="00F0446E" w:rsidRDefault="00ED5D66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1 straipsnio 4 dalies pakeitimas</w:t>
      </w:r>
    </w:p>
    <w:p w14:paraId="47F38300" w14:textId="77777777" w:rsidR="00F0446E" w:rsidRDefault="00ED5D66">
      <w:pPr>
        <w:ind w:firstLine="708"/>
        <w:jc w:val="both"/>
        <w:rPr>
          <w:color w:val="000000"/>
        </w:rPr>
      </w:pPr>
      <w:r>
        <w:rPr>
          <w:color w:val="000000"/>
        </w:rPr>
        <w:t>Pakeisti 1 straipsnio 4 dalį ir ją išdėstyti taip:</w:t>
      </w:r>
    </w:p>
    <w:p w14:paraId="47F38301" w14:textId="77777777" w:rsidR="00F0446E" w:rsidRDefault="00ED5D66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</w:t>
      </w:r>
      <w:r>
        <w:rPr>
          <w:color w:val="000000"/>
        </w:rPr>
        <w:t xml:space="preserve">. Nuolat Lietuvos Respublikoje gyvenančiais asmenimis laikomi </w:t>
      </w:r>
      <w:r>
        <w:rPr>
          <w:color w:val="000000"/>
        </w:rPr>
        <w:t>Lietuvos Respublikos piliečiai, kurių duomenys apie gyvenamąją vietą Lietuvos Respublikoje</w:t>
      </w:r>
      <w:r>
        <w:rPr>
          <w:bCs/>
          <w:color w:val="000000"/>
        </w:rPr>
        <w:t xml:space="preserve">, </w:t>
      </w:r>
      <w:r>
        <w:rPr>
          <w:color w:val="000000"/>
        </w:rPr>
        <w:t>o neturinčių gyvenamosios vietos – apie savivaldybę, kurioje jie</w:t>
      </w:r>
      <w:r>
        <w:rPr>
          <w:b/>
          <w:color w:val="000000"/>
        </w:rPr>
        <w:t xml:space="preserve"> </w:t>
      </w:r>
      <w:r>
        <w:rPr>
          <w:color w:val="000000"/>
        </w:rPr>
        <w:t>gyvena,</w:t>
      </w:r>
      <w:r>
        <w:rPr>
          <w:b/>
          <w:color w:val="000000"/>
        </w:rPr>
        <w:t xml:space="preserve"> </w:t>
      </w:r>
      <w:r>
        <w:rPr>
          <w:color w:val="000000"/>
        </w:rPr>
        <w:t>yra įrašyti į Lietuvos Respublikos gyventojų registrą, taip pat nuolat Lietuvos Respublikoj</w:t>
      </w:r>
      <w:r>
        <w:rPr>
          <w:color w:val="000000"/>
        </w:rPr>
        <w:t xml:space="preserve">e gyvenantys užsieniečiai.“ </w:t>
      </w:r>
    </w:p>
    <w:p w14:paraId="47F38302" w14:textId="77777777" w:rsidR="00F0446E" w:rsidRDefault="00ED5D66"/>
    <w:p w14:paraId="47F38303" w14:textId="77777777" w:rsidR="00F0446E" w:rsidRDefault="00ED5D66">
      <w:pPr>
        <w:jc w:val="center"/>
        <w:rPr>
          <w:b/>
          <w:color w:val="000000"/>
        </w:rPr>
      </w:pPr>
      <w:r>
        <w:rPr>
          <w:b/>
          <w:color w:val="000000"/>
        </w:rPr>
        <w:t>TREČIASIS</w:t>
      </w:r>
      <w:r>
        <w:rPr>
          <w:b/>
          <w:color w:val="000000"/>
        </w:rPr>
        <w:t xml:space="preserve"> SKIRSNIS</w:t>
      </w:r>
    </w:p>
    <w:p w14:paraId="47F38304" w14:textId="77777777" w:rsidR="00F0446E" w:rsidRDefault="00ED5D66">
      <w:pPr>
        <w:jc w:val="center"/>
        <w:rPr>
          <w:b/>
          <w:color w:val="000000"/>
        </w:rPr>
      </w:pPr>
      <w:r>
        <w:rPr>
          <w:b/>
          <w:color w:val="000000"/>
        </w:rPr>
        <w:t>MOKSLININKŲ VALSTYBINIŲ PENSIJŲ LAIKINOJO ĮSTATYMO 1 STRAIPSNIO PAKEITIMAS</w:t>
      </w:r>
    </w:p>
    <w:p w14:paraId="47F38305" w14:textId="77777777" w:rsidR="00F0446E" w:rsidRDefault="00F0446E">
      <w:pPr>
        <w:jc w:val="center"/>
        <w:rPr>
          <w:b/>
          <w:color w:val="000000"/>
        </w:rPr>
      </w:pPr>
    </w:p>
    <w:p w14:paraId="47F38306" w14:textId="77777777" w:rsidR="00F0446E" w:rsidRDefault="00ED5D66">
      <w:pPr>
        <w:jc w:val="center"/>
        <w:rPr>
          <w:color w:val="000000"/>
        </w:rPr>
      </w:pPr>
      <w:r>
        <w:rPr>
          <w:color w:val="000000"/>
        </w:rPr>
        <w:t>(</w:t>
      </w:r>
      <w:proofErr w:type="spellStart"/>
      <w:r>
        <w:rPr>
          <w:color w:val="000000"/>
        </w:rPr>
        <w:t>Žin</w:t>
      </w:r>
      <w:proofErr w:type="spellEnd"/>
      <w:r>
        <w:rPr>
          <w:color w:val="000000"/>
        </w:rPr>
        <w:t xml:space="preserve">., 1995, Nr. </w:t>
      </w:r>
      <w:hyperlink r:id="rId15" w:tgtFrame="_blank" w:history="1">
        <w:r>
          <w:rPr>
            <w:color w:val="0000FF" w:themeColor="hyperlink"/>
            <w:u w:val="single"/>
          </w:rPr>
          <w:t>1-4</w:t>
        </w:r>
      </w:hyperlink>
      <w:r>
        <w:rPr>
          <w:color w:val="000000"/>
        </w:rPr>
        <w:t xml:space="preserve">; 2003, Nr. </w:t>
      </w:r>
      <w:hyperlink r:id="rId16" w:tgtFrame="_blank" w:history="1">
        <w:r>
          <w:rPr>
            <w:color w:val="0000FF" w:themeColor="hyperlink"/>
            <w:u w:val="single"/>
          </w:rPr>
          <w:t>14-538</w:t>
        </w:r>
      </w:hyperlink>
      <w:r>
        <w:rPr>
          <w:color w:val="000000"/>
        </w:rPr>
        <w:t>)</w:t>
      </w:r>
    </w:p>
    <w:p w14:paraId="47F38307" w14:textId="77777777" w:rsidR="00F0446E" w:rsidRDefault="00F0446E">
      <w:pPr>
        <w:rPr>
          <w:color w:val="000000"/>
        </w:rPr>
      </w:pPr>
    </w:p>
    <w:p w14:paraId="47F38308" w14:textId="77777777" w:rsidR="00F0446E" w:rsidRDefault="00ED5D66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1 straipsnio 2 dalies pakeitimas</w:t>
      </w:r>
    </w:p>
    <w:p w14:paraId="47F38309" w14:textId="77777777" w:rsidR="00F0446E" w:rsidRDefault="00ED5D66">
      <w:pPr>
        <w:ind w:firstLine="708"/>
        <w:jc w:val="both"/>
        <w:rPr>
          <w:color w:val="000000"/>
        </w:rPr>
      </w:pPr>
      <w:r>
        <w:rPr>
          <w:color w:val="000000"/>
        </w:rPr>
        <w:t>Pakeisti 1 straipsnio 2 dalį ir ją išdėstyti taip:</w:t>
      </w:r>
    </w:p>
    <w:p w14:paraId="47F3830A" w14:textId="77777777" w:rsidR="00F0446E" w:rsidRDefault="00ED5D66">
      <w:pPr>
        <w:ind w:firstLine="708"/>
        <w:jc w:val="both"/>
        <w:rPr>
          <w:color w:val="000000"/>
        </w:rPr>
      </w:pPr>
      <w:r>
        <w:rPr>
          <w:color w:val="000000"/>
        </w:rPr>
        <w:t>„Nuolat Lietuvos Respublikoje gyvenančiais asmenimis laikomi Lietuvos Re</w:t>
      </w:r>
      <w:r>
        <w:rPr>
          <w:color w:val="000000"/>
        </w:rPr>
        <w:t>spublikos piliečiai, kurių duomenys apie gyvenamąją vietą Lietuvos Respublikoje, o neturinčių gyvenamosios vietos – apie savivaldybę, kurioje jie</w:t>
      </w:r>
      <w:r>
        <w:rPr>
          <w:b/>
          <w:color w:val="000000"/>
        </w:rPr>
        <w:t xml:space="preserve"> </w:t>
      </w:r>
      <w:r>
        <w:rPr>
          <w:color w:val="000000"/>
        </w:rPr>
        <w:t>gyvena,</w:t>
      </w:r>
      <w:r>
        <w:rPr>
          <w:b/>
          <w:color w:val="000000"/>
        </w:rPr>
        <w:t xml:space="preserve"> </w:t>
      </w:r>
      <w:r>
        <w:rPr>
          <w:color w:val="000000"/>
        </w:rPr>
        <w:t>yra įrašyti į Lietuvos Respublikos gyventojų registrą, arba nuolat Lietuvos Respublikoje gyvenantys už</w:t>
      </w:r>
      <w:r>
        <w:rPr>
          <w:color w:val="000000"/>
        </w:rPr>
        <w:t>sieniečiai.“</w:t>
      </w:r>
    </w:p>
    <w:p w14:paraId="47F3830B" w14:textId="77777777" w:rsidR="00F0446E" w:rsidRDefault="00ED5D66"/>
    <w:p w14:paraId="47F3830C" w14:textId="77777777" w:rsidR="00F0446E" w:rsidRDefault="00ED5D66">
      <w:pPr>
        <w:jc w:val="center"/>
        <w:rPr>
          <w:b/>
          <w:color w:val="000000"/>
        </w:rPr>
      </w:pPr>
      <w:r>
        <w:rPr>
          <w:b/>
          <w:color w:val="000000"/>
        </w:rPr>
        <w:t>KETVIRTASIS</w:t>
      </w:r>
      <w:r>
        <w:rPr>
          <w:b/>
          <w:color w:val="000000"/>
        </w:rPr>
        <w:t xml:space="preserve"> SKIRSNIS</w:t>
      </w:r>
    </w:p>
    <w:p w14:paraId="47F3830D" w14:textId="77777777" w:rsidR="00F0446E" w:rsidRDefault="00ED5D66">
      <w:pPr>
        <w:keepNext/>
        <w:jc w:val="center"/>
        <w:outlineLvl w:val="2"/>
        <w:rPr>
          <w:b/>
          <w:color w:val="000000"/>
        </w:rPr>
      </w:pPr>
      <w:r>
        <w:rPr>
          <w:b/>
          <w:color w:val="000000"/>
        </w:rPr>
        <w:t>VALSTYBINIŲ PENSIJŲ ĮSTATYMO 11 STRAIPSNIO PAKEITIMAS</w:t>
      </w:r>
    </w:p>
    <w:p w14:paraId="47F3830E" w14:textId="77777777" w:rsidR="00F0446E" w:rsidRDefault="00F0446E">
      <w:pPr>
        <w:jc w:val="center"/>
        <w:rPr>
          <w:color w:val="000000"/>
        </w:rPr>
      </w:pPr>
    </w:p>
    <w:p w14:paraId="47F3830F" w14:textId="77777777" w:rsidR="00F0446E" w:rsidRDefault="00ED5D66">
      <w:pPr>
        <w:jc w:val="center"/>
        <w:rPr>
          <w:color w:val="000000"/>
        </w:rPr>
      </w:pPr>
      <w:r>
        <w:rPr>
          <w:color w:val="000000"/>
        </w:rPr>
        <w:t>(</w:t>
      </w:r>
      <w:proofErr w:type="spellStart"/>
      <w:r>
        <w:rPr>
          <w:color w:val="000000"/>
        </w:rPr>
        <w:t>Žin</w:t>
      </w:r>
      <w:proofErr w:type="spellEnd"/>
      <w:r>
        <w:rPr>
          <w:color w:val="000000"/>
        </w:rPr>
        <w:t xml:space="preserve">., 1994, Nr. </w:t>
      </w:r>
      <w:hyperlink r:id="rId17" w:tgtFrame="_blank" w:history="1">
        <w:r>
          <w:rPr>
            <w:color w:val="0000FF" w:themeColor="hyperlink"/>
            <w:u w:val="single"/>
          </w:rPr>
          <w:t>101-2018</w:t>
        </w:r>
      </w:hyperlink>
      <w:r>
        <w:rPr>
          <w:color w:val="000000"/>
        </w:rPr>
        <w:t xml:space="preserve">; 1995, Nr. </w:t>
      </w:r>
      <w:hyperlink r:id="rId18" w:tgtFrame="_blank" w:history="1">
        <w:r>
          <w:rPr>
            <w:color w:val="0000FF" w:themeColor="hyperlink"/>
            <w:u w:val="single"/>
          </w:rPr>
          <w:t>59-1476</w:t>
        </w:r>
      </w:hyperlink>
      <w:r>
        <w:rPr>
          <w:color w:val="000000"/>
        </w:rPr>
        <w:t xml:space="preserve">; 1996, Nr. </w:t>
      </w:r>
      <w:hyperlink r:id="rId19" w:tgtFrame="_blank" w:history="1">
        <w:r>
          <w:rPr>
            <w:color w:val="0000FF" w:themeColor="hyperlink"/>
            <w:u w:val="single"/>
          </w:rPr>
          <w:t>73-1750</w:t>
        </w:r>
      </w:hyperlink>
      <w:r>
        <w:rPr>
          <w:color w:val="000000"/>
        </w:rPr>
        <w:t xml:space="preserve">; 1997, Nr. </w:t>
      </w:r>
      <w:hyperlink r:id="rId20" w:tgtFrame="_blank" w:history="1">
        <w:r>
          <w:rPr>
            <w:color w:val="0000FF" w:themeColor="hyperlink"/>
            <w:u w:val="single"/>
          </w:rPr>
          <w:t>104-2622</w:t>
        </w:r>
      </w:hyperlink>
      <w:r>
        <w:rPr>
          <w:color w:val="000000"/>
        </w:rPr>
        <w:t xml:space="preserve">; 1998, Nr. </w:t>
      </w:r>
      <w:hyperlink r:id="rId21" w:tgtFrame="_blank" w:history="1">
        <w:r>
          <w:rPr>
            <w:color w:val="0000FF" w:themeColor="hyperlink"/>
            <w:u w:val="single"/>
          </w:rPr>
          <w:t>114-3192</w:t>
        </w:r>
      </w:hyperlink>
      <w:r>
        <w:rPr>
          <w:color w:val="000000"/>
        </w:rPr>
        <w:t xml:space="preserve">; 2000, Nr. </w:t>
      </w:r>
      <w:hyperlink r:id="rId22" w:tgtFrame="_blank" w:history="1">
        <w:r>
          <w:rPr>
            <w:color w:val="0000FF" w:themeColor="hyperlink"/>
            <w:u w:val="single"/>
          </w:rPr>
          <w:t>52-1487</w:t>
        </w:r>
      </w:hyperlink>
      <w:r>
        <w:rPr>
          <w:color w:val="000000"/>
        </w:rPr>
        <w:t xml:space="preserve">; 2003, Nr. </w:t>
      </w:r>
      <w:hyperlink r:id="rId23" w:tgtFrame="_blank" w:history="1">
        <w:r>
          <w:rPr>
            <w:color w:val="0000FF" w:themeColor="hyperlink"/>
            <w:u w:val="single"/>
          </w:rPr>
          <w:t>14-538</w:t>
        </w:r>
      </w:hyperlink>
      <w:r>
        <w:rPr>
          <w:color w:val="000000"/>
        </w:rPr>
        <w:t>)</w:t>
      </w:r>
    </w:p>
    <w:p w14:paraId="47F38310" w14:textId="77777777" w:rsidR="00F0446E" w:rsidRDefault="00F0446E"/>
    <w:p w14:paraId="47F38311" w14:textId="77777777" w:rsidR="00F0446E" w:rsidRDefault="00ED5D66">
      <w:pPr>
        <w:keepNext/>
        <w:ind w:firstLine="708"/>
        <w:rPr>
          <w:b/>
          <w:color w:val="000000"/>
          <w:kern w:val="28"/>
        </w:rPr>
      </w:pPr>
      <w:r>
        <w:rPr>
          <w:b/>
          <w:color w:val="000000"/>
          <w:kern w:val="28"/>
        </w:rPr>
        <w:t>1</w:t>
      </w:r>
      <w:r>
        <w:rPr>
          <w:b/>
          <w:color w:val="000000"/>
          <w:kern w:val="28"/>
        </w:rPr>
        <w:t xml:space="preserve"> straipsnis. </w:t>
      </w:r>
      <w:r>
        <w:rPr>
          <w:b/>
          <w:color w:val="000000"/>
          <w:kern w:val="28"/>
        </w:rPr>
        <w:t>11 straipsnio 1 dalies pakeitimas</w:t>
      </w:r>
    </w:p>
    <w:p w14:paraId="47F38312" w14:textId="77777777" w:rsidR="00F0446E" w:rsidRDefault="00ED5D66">
      <w:pPr>
        <w:keepNext/>
        <w:ind w:firstLine="708"/>
        <w:rPr>
          <w:color w:val="000000"/>
          <w:kern w:val="28"/>
        </w:rPr>
      </w:pPr>
      <w:r>
        <w:rPr>
          <w:color w:val="000000"/>
          <w:kern w:val="28"/>
        </w:rPr>
        <w:t>Pakeisti 11 straipsnio 1 dalį ir ją išdėstyti taip:</w:t>
      </w:r>
    </w:p>
    <w:p w14:paraId="47F38313" w14:textId="77777777" w:rsidR="00F0446E" w:rsidRDefault="00ED5D66">
      <w:pPr>
        <w:ind w:firstLine="708"/>
        <w:jc w:val="both"/>
        <w:rPr>
          <w:color w:val="000000"/>
        </w:rPr>
      </w:pPr>
      <w:r>
        <w:rPr>
          <w:color w:val="000000"/>
        </w:rPr>
        <w:t>„Nukentėjusiųjų asmenų valstybines pensijas turi teisę gauti Lietuvos Respublikos pili</w:t>
      </w:r>
      <w:r>
        <w:rPr>
          <w:color w:val="000000"/>
        </w:rPr>
        <w:t>ečiai, kurių duomenys apie gyvenamąją vietą Lietuvos Respublikoje, o neturinčių gyvenamosios vietos – apie savivaldybę, kurioje jie</w:t>
      </w:r>
      <w:r>
        <w:rPr>
          <w:b/>
          <w:color w:val="000000"/>
        </w:rPr>
        <w:t xml:space="preserve"> </w:t>
      </w:r>
      <w:r>
        <w:rPr>
          <w:color w:val="000000"/>
        </w:rPr>
        <w:t>gyvena,</w:t>
      </w:r>
      <w:r>
        <w:rPr>
          <w:b/>
          <w:color w:val="000000"/>
        </w:rPr>
        <w:t xml:space="preserve"> </w:t>
      </w:r>
      <w:r>
        <w:rPr>
          <w:color w:val="000000"/>
        </w:rPr>
        <w:t>yra įrašyti į Lietuvos Respublikos gyventojų registrą ir kurie negauna iš kitos valstybės panašaus pobūdžio pensijos</w:t>
      </w:r>
      <w:r>
        <w:rPr>
          <w:color w:val="000000"/>
        </w:rPr>
        <w:t xml:space="preserve"> (išskyrus socialinio draudimo pensiją) ar kitokios nuolatinės kompensacinės išmokos:</w:t>
      </w:r>
    </w:p>
    <w:p w14:paraId="47F38314" w14:textId="77777777" w:rsidR="00F0446E" w:rsidRDefault="00ED5D66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) kurie tapo invalidais dėl 1991 metų sausio 11–13 dienomis vykdytos agresijos ir po to buvusių įvykių;</w:t>
      </w:r>
    </w:p>
    <w:p w14:paraId="47F38315" w14:textId="77777777" w:rsidR="00F0446E" w:rsidRDefault="00ED5D66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) politiniai kaliniai ir tremtiniai, pateikę Lietuvos Resp</w:t>
      </w:r>
      <w:r>
        <w:rPr>
          <w:color w:val="000000"/>
        </w:rPr>
        <w:t>ublikos teisėsaugos institucijų išduotus dokumentus (reabilitacijos pažymas), patvirtinančius politinių kalinių ir tremtinių teisių atkūrimą, arba Lietuvos gyventojų genocido ir rezistencijos tyrimo centro išduotus nuo okupacijų nukentėjusio asmens – polit</w:t>
      </w:r>
      <w:r>
        <w:rPr>
          <w:color w:val="000000"/>
        </w:rPr>
        <w:t xml:space="preserve">inio kalinio ar tremtinio teisinio statuso pažymėjimus; </w:t>
      </w:r>
    </w:p>
    <w:p w14:paraId="47F38316" w14:textId="77777777" w:rsidR="00F0446E" w:rsidRDefault="00ED5D66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 xml:space="preserve">) pasipriešinimo 1940–1990 metų okupacijoms (rezistencijos) dalyviai – laisvės kovų dalyviai, kuriems įstatymų nustatyta tvarka yra pripažintas šis statusas; </w:t>
      </w:r>
    </w:p>
    <w:p w14:paraId="47F38317" w14:textId="77777777" w:rsidR="00F0446E" w:rsidRDefault="00ED5D66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) kurie Antrojo pasaulinio kar</w:t>
      </w:r>
      <w:r>
        <w:rPr>
          <w:color w:val="000000"/>
        </w:rPr>
        <w:t>o metais buvo išvežti priverstiniams darbams už buvusios TSRS ribų arba buvo getuose, koncentracijos ar kitokio tipo prievartinėse stovyklose;</w:t>
      </w:r>
    </w:p>
    <w:p w14:paraId="47F38318" w14:textId="77777777" w:rsidR="00F0446E" w:rsidRDefault="00ED5D66">
      <w:pPr>
        <w:ind w:firstLine="708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 xml:space="preserve">) kurie Antrojo pasaulinio karo metais tarnavo antihitlerinės koalicijos valstybių veikiančiose armijose, </w:t>
      </w:r>
      <w:r>
        <w:rPr>
          <w:color w:val="000000"/>
        </w:rPr>
        <w:t>partizanų būriuose ar junginiuose;</w:t>
      </w:r>
    </w:p>
    <w:p w14:paraId="47F38319" w14:textId="77777777" w:rsidR="00F0446E" w:rsidRDefault="00ED5D66">
      <w:pPr>
        <w:ind w:firstLine="708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>) kurie dalyvavo likviduojant Černobylio atominės elektrinės avarijos padarinius;</w:t>
      </w:r>
    </w:p>
    <w:p w14:paraId="47F3831A" w14:textId="77777777" w:rsidR="00F0446E" w:rsidRDefault="00ED5D66">
      <w:pPr>
        <w:ind w:firstLine="708"/>
        <w:jc w:val="both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>) kurie tapo invalidais būtinosios karinės tarnybos ar karinių mokymų sovietinėje armijoje (1945 07 22 – 1991 12 31) metu arba vė</w:t>
      </w:r>
      <w:r>
        <w:rPr>
          <w:color w:val="000000"/>
        </w:rPr>
        <w:t>liau buvo pripažinti invalidais dėl ligų, susijusių su karine tarnyba.“</w:t>
      </w:r>
    </w:p>
    <w:p w14:paraId="47F3831B" w14:textId="77777777" w:rsidR="00F0446E" w:rsidRDefault="00ED5D66"/>
    <w:p w14:paraId="47F3831C" w14:textId="77777777" w:rsidR="00F0446E" w:rsidRDefault="00ED5D66">
      <w:pPr>
        <w:jc w:val="center"/>
        <w:rPr>
          <w:b/>
          <w:color w:val="000000"/>
        </w:rPr>
      </w:pPr>
      <w:r>
        <w:rPr>
          <w:b/>
          <w:color w:val="000000"/>
        </w:rPr>
        <w:t>PENKTASIS</w:t>
      </w:r>
      <w:r>
        <w:rPr>
          <w:b/>
          <w:color w:val="000000"/>
        </w:rPr>
        <w:t xml:space="preserve"> SKIRSNIS</w:t>
      </w:r>
    </w:p>
    <w:p w14:paraId="47F3831D" w14:textId="77777777" w:rsidR="00F0446E" w:rsidRDefault="00ED5D66"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 xml:space="preserve">Valstybės paramos būstui įsigyti ar išsinuomoti įstatymo </w:t>
      </w:r>
    </w:p>
    <w:p w14:paraId="47F3831E" w14:textId="77777777" w:rsidR="00F0446E" w:rsidRDefault="00ED5D66"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11 STRAIPSNIO PAKEITIMAS</w:t>
      </w:r>
    </w:p>
    <w:p w14:paraId="47F3831F" w14:textId="77777777" w:rsidR="00F0446E" w:rsidRDefault="00F0446E">
      <w:pPr>
        <w:jc w:val="center"/>
        <w:rPr>
          <w:b/>
          <w:caps/>
          <w:color w:val="000000"/>
        </w:rPr>
      </w:pPr>
    </w:p>
    <w:p w14:paraId="47F38320" w14:textId="77777777" w:rsidR="00F0446E" w:rsidRDefault="00ED5D66">
      <w:pPr>
        <w:jc w:val="center"/>
        <w:rPr>
          <w:color w:val="000000"/>
        </w:rPr>
      </w:pPr>
      <w:r>
        <w:rPr>
          <w:color w:val="000000"/>
        </w:rPr>
        <w:t>(</w:t>
      </w:r>
      <w:proofErr w:type="spellStart"/>
      <w:r>
        <w:rPr>
          <w:color w:val="000000"/>
        </w:rPr>
        <w:t>Žin</w:t>
      </w:r>
      <w:proofErr w:type="spellEnd"/>
      <w:r>
        <w:rPr>
          <w:color w:val="000000"/>
        </w:rPr>
        <w:t xml:space="preserve">., 1992, Nr. </w:t>
      </w:r>
      <w:hyperlink r:id="rId24" w:tgtFrame="_blank" w:history="1">
        <w:r>
          <w:rPr>
            <w:color w:val="0000FF" w:themeColor="hyperlink"/>
            <w:u w:val="single"/>
          </w:rPr>
          <w:t>14-378</w:t>
        </w:r>
      </w:hyperlink>
      <w:r>
        <w:rPr>
          <w:color w:val="000000"/>
        </w:rPr>
        <w:t xml:space="preserve">; 2002, Nr. </w:t>
      </w:r>
      <w:hyperlink r:id="rId25" w:tgtFrame="_blank" w:history="1">
        <w:r>
          <w:rPr>
            <w:color w:val="0000FF" w:themeColor="hyperlink"/>
            <w:u w:val="single"/>
          </w:rPr>
          <w:t>116-5188</w:t>
        </w:r>
      </w:hyperlink>
      <w:r>
        <w:rPr>
          <w:color w:val="000000"/>
        </w:rPr>
        <w:t>)</w:t>
      </w:r>
    </w:p>
    <w:p w14:paraId="47F38321" w14:textId="77777777" w:rsidR="00F0446E" w:rsidRDefault="00F0446E">
      <w:pPr>
        <w:jc w:val="center"/>
        <w:rPr>
          <w:color w:val="000000"/>
        </w:rPr>
      </w:pPr>
    </w:p>
    <w:p w14:paraId="47F38322" w14:textId="77777777" w:rsidR="00F0446E" w:rsidRDefault="00ED5D66">
      <w:pPr>
        <w:ind w:firstLine="708"/>
        <w:jc w:val="both"/>
        <w:rPr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11 straipsnio 1 dalies pakeitimas</w:t>
      </w:r>
    </w:p>
    <w:p w14:paraId="47F38323" w14:textId="77777777" w:rsidR="00F0446E" w:rsidRDefault="00ED5D66">
      <w:pPr>
        <w:ind w:firstLine="708"/>
        <w:jc w:val="both"/>
        <w:rPr>
          <w:color w:val="000000"/>
        </w:rPr>
      </w:pPr>
      <w:r>
        <w:rPr>
          <w:color w:val="000000"/>
        </w:rPr>
        <w:t>Pakeisti 11 straipsnio 1 dalį ir ją išdėstyti taip:</w:t>
      </w:r>
    </w:p>
    <w:p w14:paraId="47F38324" w14:textId="77777777" w:rsidR="00F0446E" w:rsidRDefault="00ED5D66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</w:t>
      </w:r>
      <w:r>
        <w:rPr>
          <w:color w:val="000000"/>
        </w:rPr>
        <w:t>. Asmeny</w:t>
      </w:r>
      <w:r>
        <w:rPr>
          <w:color w:val="000000"/>
        </w:rPr>
        <w:t>s (šeimos), turintys teisę į savivaldybės socialinį būstą ar jo sąlygų pagerinimą pagal šio Įstatymo 8 straipsnį, pateikę rašytinį prašymą, registruojami savivaldybės vykdomojoje institucijoje pagal asmens (šeimos atveju – vieno iš sutuoktinių) įstatymų nu</w:t>
      </w:r>
      <w:r>
        <w:rPr>
          <w:color w:val="000000"/>
        </w:rPr>
        <w:t>statyta tvarka deklaruotą gyvenamąją vietą, o</w:t>
      </w:r>
      <w:r>
        <w:rPr>
          <w:b/>
          <w:color w:val="000000"/>
        </w:rPr>
        <w:t xml:space="preserve"> </w:t>
      </w:r>
      <w:r>
        <w:rPr>
          <w:color w:val="000000"/>
        </w:rPr>
        <w:t>jei gyvenamosios vietos neturi, – pagal savivaldybę, kurioje gyvena. Kartu su prašymu pateikiami dokumentai, įrodantys teisę į socialinį būstą ar būsto sąlygų pagerinimą. Registravimo tvarką nustato savivaldybė</w:t>
      </w:r>
      <w:r>
        <w:rPr>
          <w:color w:val="000000"/>
        </w:rPr>
        <w:t>s institucijos.“</w:t>
      </w:r>
    </w:p>
    <w:p w14:paraId="47F38325" w14:textId="77777777" w:rsidR="00F0446E" w:rsidRDefault="00ED5D66"/>
    <w:p w14:paraId="47F38326" w14:textId="77777777" w:rsidR="00F0446E" w:rsidRDefault="00ED5D66">
      <w:pPr>
        <w:jc w:val="center"/>
        <w:rPr>
          <w:b/>
          <w:color w:val="000000"/>
        </w:rPr>
      </w:pPr>
      <w:r>
        <w:rPr>
          <w:b/>
          <w:color w:val="000000"/>
        </w:rPr>
        <w:t>ŠEŠTASIS</w:t>
      </w:r>
      <w:r>
        <w:rPr>
          <w:b/>
          <w:color w:val="000000"/>
        </w:rPr>
        <w:t xml:space="preserve"> SKIRSNIS</w:t>
      </w:r>
    </w:p>
    <w:p w14:paraId="47F38327" w14:textId="77777777" w:rsidR="00F0446E" w:rsidRDefault="00ED5D66">
      <w:pPr>
        <w:jc w:val="center"/>
        <w:rPr>
          <w:b/>
          <w:color w:val="000000"/>
          <w:spacing w:val="20"/>
        </w:rPr>
      </w:pPr>
      <w:r>
        <w:rPr>
          <w:b/>
          <w:color w:val="000000"/>
        </w:rPr>
        <w:t>PINIGINĖS SOCIALINĖS PARAMOS MAŽAS PAJAMAS GAUNANČIOMS ŠEIMOMS (VIENIEMS GYVENANTIEMS ASMENIMS) ĮSTATYMO 15, 18 ir 19 STRAIPSNIŲ PAKEITIMAS</w:t>
      </w:r>
    </w:p>
    <w:p w14:paraId="47F38328" w14:textId="77777777" w:rsidR="00F0446E" w:rsidRDefault="00F0446E">
      <w:pPr>
        <w:jc w:val="center"/>
        <w:rPr>
          <w:color w:val="000000"/>
        </w:rPr>
      </w:pPr>
    </w:p>
    <w:p w14:paraId="47F38329" w14:textId="77777777" w:rsidR="00F0446E" w:rsidRDefault="00ED5D66">
      <w:pPr>
        <w:jc w:val="center"/>
        <w:rPr>
          <w:color w:val="000000"/>
        </w:rPr>
      </w:pPr>
      <w:r>
        <w:rPr>
          <w:color w:val="000000"/>
        </w:rPr>
        <w:t>(</w:t>
      </w:r>
      <w:proofErr w:type="spellStart"/>
      <w:r>
        <w:rPr>
          <w:color w:val="000000"/>
        </w:rPr>
        <w:t>Žin</w:t>
      </w:r>
      <w:proofErr w:type="spellEnd"/>
      <w:r>
        <w:rPr>
          <w:color w:val="000000"/>
        </w:rPr>
        <w:t xml:space="preserve">., 2003, Nr. </w:t>
      </w:r>
      <w:hyperlink r:id="rId26" w:tgtFrame="_blank" w:history="1">
        <w:r>
          <w:rPr>
            <w:color w:val="0000FF" w:themeColor="hyperlink"/>
            <w:u w:val="single"/>
          </w:rPr>
          <w:t>73-3352</w:t>
        </w:r>
      </w:hyperlink>
      <w:r>
        <w:rPr>
          <w:color w:val="000000"/>
        </w:rPr>
        <w:t xml:space="preserve">, Nr. </w:t>
      </w:r>
      <w:hyperlink r:id="rId27" w:tgtFrame="_blank" w:history="1">
        <w:r>
          <w:rPr>
            <w:color w:val="0000FF" w:themeColor="hyperlink"/>
            <w:u w:val="single"/>
          </w:rPr>
          <w:t>123-5584</w:t>
        </w:r>
      </w:hyperlink>
      <w:r>
        <w:rPr>
          <w:color w:val="000000"/>
        </w:rPr>
        <w:t>)</w:t>
      </w:r>
    </w:p>
    <w:p w14:paraId="47F3832A" w14:textId="77777777" w:rsidR="00F0446E" w:rsidRDefault="00F0446E">
      <w:pPr>
        <w:jc w:val="center"/>
        <w:rPr>
          <w:color w:val="000000"/>
        </w:rPr>
      </w:pPr>
    </w:p>
    <w:p w14:paraId="47F3832B" w14:textId="77777777" w:rsidR="00F0446E" w:rsidRDefault="00ED5D66">
      <w:pPr>
        <w:ind w:firstLine="708"/>
        <w:jc w:val="both"/>
        <w:rPr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15 straipsnio pakeitimas</w:t>
      </w:r>
    </w:p>
    <w:p w14:paraId="47F3832C" w14:textId="77777777" w:rsidR="00F0446E" w:rsidRDefault="00ED5D66">
      <w:pPr>
        <w:ind w:firstLine="708"/>
        <w:jc w:val="both"/>
        <w:rPr>
          <w:color w:val="000000"/>
        </w:rPr>
      </w:pPr>
      <w:r>
        <w:rPr>
          <w:color w:val="000000"/>
        </w:rPr>
        <w:t>Pakeisti 15 straipsnį ir jį išdėstyti taip:</w:t>
      </w:r>
    </w:p>
    <w:p w14:paraId="47F3832D" w14:textId="77777777" w:rsidR="00F0446E" w:rsidRDefault="00ED5D66">
      <w:pPr>
        <w:ind w:firstLine="708"/>
        <w:jc w:val="both"/>
        <w:rPr>
          <w:color w:val="000000"/>
        </w:rPr>
      </w:pPr>
      <w:r>
        <w:rPr>
          <w:bCs/>
          <w:color w:val="000000"/>
        </w:rPr>
        <w:t>„</w:t>
      </w:r>
      <w:r>
        <w:rPr>
          <w:b/>
          <w:color w:val="000000"/>
        </w:rPr>
        <w:t>15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 xml:space="preserve">Piniginę </w:t>
      </w:r>
      <w:r>
        <w:rPr>
          <w:b/>
          <w:color w:val="000000"/>
        </w:rPr>
        <w:t>socialinę paramą administruojanti institucija</w:t>
      </w:r>
    </w:p>
    <w:p w14:paraId="47F3832E" w14:textId="77777777" w:rsidR="00F0446E" w:rsidRDefault="00ED5D66">
      <w:pPr>
        <w:ind w:firstLine="708"/>
        <w:jc w:val="both"/>
        <w:rPr>
          <w:b/>
          <w:color w:val="000000"/>
        </w:rPr>
      </w:pPr>
      <w:r>
        <w:rPr>
          <w:color w:val="000000"/>
        </w:rPr>
        <w:t>Piniginę socialinę paramą administruoja šeimos (vieno gyvenančio asmens) deklaruojamos gyvenamosios vietos savivaldybė, o jei šeima (vienas gyvenantis asmuo) gyvenamosios vietos neturi, – savivaldybė, kurioje</w:t>
      </w:r>
      <w:r>
        <w:rPr>
          <w:color w:val="000000"/>
        </w:rPr>
        <w:t xml:space="preserve"> šeima (vienas gyvenantis asmuo) gyvena.“</w:t>
      </w:r>
    </w:p>
    <w:p w14:paraId="47F3832F" w14:textId="77777777" w:rsidR="00F0446E" w:rsidRDefault="00ED5D66"/>
    <w:p w14:paraId="47F38330" w14:textId="77777777" w:rsidR="00F0446E" w:rsidRDefault="00ED5D66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2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18 straipsnio 2 dalies pakeitimas</w:t>
      </w:r>
    </w:p>
    <w:p w14:paraId="47F38331" w14:textId="77777777" w:rsidR="00F0446E" w:rsidRDefault="00ED5D66">
      <w:pPr>
        <w:ind w:firstLine="708"/>
        <w:jc w:val="both"/>
        <w:rPr>
          <w:color w:val="000000"/>
        </w:rPr>
      </w:pPr>
      <w:r>
        <w:rPr>
          <w:color w:val="000000"/>
        </w:rPr>
        <w:t>Pakeisti 18 straipsnio 2 dalį ir ją išdėstyti taip:</w:t>
      </w:r>
    </w:p>
    <w:p w14:paraId="47F38332" w14:textId="77777777" w:rsidR="00F0446E" w:rsidRDefault="00ED5D66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</w:t>
      </w:r>
      <w:r>
        <w:rPr>
          <w:color w:val="000000"/>
        </w:rPr>
        <w:t>. Šeimai (vienam gyvenančiam asmeniui) pakeitus deklaruotą gyvenamąją vietą (jei gyvenamosios v</w:t>
      </w:r>
      <w:r>
        <w:rPr>
          <w:color w:val="000000"/>
        </w:rPr>
        <w:t>ietos neturi, – savivaldybę, kurioje gyvena), piniginės socialinės paramos teikimas ankstesnėje savivaldybėje nutraukiamas, išmokėjus ją už tą mėnesį, kurį ją gavusi šeima (vienas gyvenantis asmuo) pakeitė deklaruotą gyvenamąją vietą (jei gyvenamosios viet</w:t>
      </w:r>
      <w:r>
        <w:rPr>
          <w:color w:val="000000"/>
        </w:rPr>
        <w:t>os neturi, – savivaldybę,</w:t>
      </w:r>
      <w:r>
        <w:rPr>
          <w:b/>
          <w:color w:val="000000"/>
        </w:rPr>
        <w:t xml:space="preserve"> </w:t>
      </w:r>
      <w:r>
        <w:rPr>
          <w:color w:val="000000"/>
        </w:rPr>
        <w:t>kurioje gyvena). Šeima (vienas gyvenantis asmuo) nustatyta tvarka nuo kito mėnesio kreipiasi į naujai deklaruojamos gyvenamosios vietos savivaldybę (jei gyvenamosios vietos neturi, – į savivaldybę, kurioje gyvena), o ši piniginę s</w:t>
      </w:r>
      <w:r>
        <w:rPr>
          <w:color w:val="000000"/>
        </w:rPr>
        <w:t>ocialinę paramą teikia nustatyta tvarka, bet ne anksčiau negu nuo kito mėnesio po to, kai šeimos (vieno gyvenančio asmens) deklaruojama gyvenamoji vieta (jei gyvenamosios vietos neturi, – savivaldybė, kurioje gyvena), buvo pakeista.“</w:t>
      </w:r>
    </w:p>
    <w:p w14:paraId="47F38333" w14:textId="77777777" w:rsidR="00F0446E" w:rsidRDefault="00ED5D66">
      <w:pPr>
        <w:ind w:firstLine="708"/>
      </w:pPr>
    </w:p>
    <w:p w14:paraId="47F38334" w14:textId="77777777" w:rsidR="00F0446E" w:rsidRDefault="00ED5D66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3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19 straipsnio 3 punkto pakeitimas</w:t>
      </w:r>
    </w:p>
    <w:p w14:paraId="47F38335" w14:textId="77777777" w:rsidR="00F0446E" w:rsidRDefault="00ED5D66">
      <w:pPr>
        <w:ind w:firstLine="708"/>
        <w:jc w:val="both"/>
        <w:rPr>
          <w:color w:val="000000"/>
        </w:rPr>
      </w:pPr>
      <w:r>
        <w:rPr>
          <w:color w:val="000000"/>
        </w:rPr>
        <w:t>Pakeisti 19 straipsnio 3 punktą ir jį išdėstyti taip:</w:t>
      </w:r>
    </w:p>
    <w:p w14:paraId="47F38336" w14:textId="77777777" w:rsidR="00F0446E" w:rsidRDefault="00ED5D66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3</w:t>
      </w:r>
      <w:r>
        <w:rPr>
          <w:color w:val="000000"/>
        </w:rPr>
        <w:t>) socialinę pašalpą šeimoms (vieniems gyvenantiems asmenims) skirti paslaugomis, kai šeima (vienas gyvenantis asmuo) neatitinka šio Įstatymo 4 straip</w:t>
      </w:r>
      <w:r>
        <w:rPr>
          <w:color w:val="000000"/>
        </w:rPr>
        <w:t xml:space="preserve">snio 2 ir 3 dalių reikalavimų ar nevykdo šio Įstatymo 22 straipsnio 1 dalies 4 punkte ir 2 dalyje nustatytų pareigų;“. </w:t>
      </w:r>
    </w:p>
    <w:p w14:paraId="47F38337" w14:textId="77777777" w:rsidR="00F0446E" w:rsidRDefault="00ED5D66">
      <w:pPr>
        <w:ind w:firstLine="708"/>
      </w:pPr>
    </w:p>
    <w:p w14:paraId="47F38338" w14:textId="77777777" w:rsidR="00F0446E" w:rsidRDefault="00ED5D66"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SEPTINTASIS</w:t>
      </w:r>
      <w:r>
        <w:rPr>
          <w:b/>
          <w:caps/>
          <w:color w:val="000000"/>
        </w:rPr>
        <w:t xml:space="preserve"> SKIRSNIS</w:t>
      </w:r>
    </w:p>
    <w:p w14:paraId="47F38339" w14:textId="77777777" w:rsidR="00F0446E" w:rsidRDefault="00ED5D66">
      <w:pPr>
        <w:jc w:val="center"/>
        <w:rPr>
          <w:color w:val="000000"/>
        </w:rPr>
      </w:pPr>
      <w:r>
        <w:rPr>
          <w:b/>
          <w:caps/>
          <w:color w:val="000000"/>
        </w:rPr>
        <w:t>Baigiamosios nuostatos</w:t>
      </w:r>
    </w:p>
    <w:p w14:paraId="47F3833A" w14:textId="77777777" w:rsidR="00F0446E" w:rsidRDefault="00F0446E">
      <w:pPr>
        <w:ind w:firstLine="708"/>
        <w:jc w:val="both"/>
        <w:rPr>
          <w:b/>
          <w:color w:val="000000"/>
        </w:rPr>
      </w:pPr>
    </w:p>
    <w:p w14:paraId="47F3833B" w14:textId="77777777" w:rsidR="00F0446E" w:rsidRDefault="00ED5D66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Pasiūlymas Lietuvos Respublikos Vyriausybei</w:t>
      </w:r>
    </w:p>
    <w:p w14:paraId="47F3833C" w14:textId="77777777" w:rsidR="00F0446E" w:rsidRDefault="00ED5D66">
      <w:pPr>
        <w:ind w:firstLine="708"/>
        <w:jc w:val="both"/>
        <w:rPr>
          <w:color w:val="000000"/>
        </w:rPr>
      </w:pPr>
      <w:r>
        <w:rPr>
          <w:color w:val="000000"/>
        </w:rPr>
        <w:t>Lietuvos Respu</w:t>
      </w:r>
      <w:r>
        <w:rPr>
          <w:color w:val="000000"/>
        </w:rPr>
        <w:t>blikos Vyriausybė ar jos įgaliotos institucijos per tris mėnesius nuo šio Įstatymo įsigaliojimo patvirtina teisės aktus, reikalingus šio Įstatymo nuostatoms įgyvendinti.</w:t>
      </w:r>
    </w:p>
    <w:p w14:paraId="47F3833D" w14:textId="77777777" w:rsidR="00F0446E" w:rsidRDefault="00F0446E">
      <w:pPr>
        <w:ind w:firstLine="708"/>
      </w:pPr>
    </w:p>
    <w:p w14:paraId="47F3833E" w14:textId="77777777" w:rsidR="00F0446E" w:rsidRDefault="00ED5D66">
      <w:pPr>
        <w:ind w:firstLine="708"/>
      </w:pPr>
    </w:p>
    <w:p w14:paraId="47F3833F" w14:textId="77777777" w:rsidR="00F0446E" w:rsidRDefault="00ED5D66">
      <w:pPr>
        <w:ind w:firstLine="708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Skelbiu šį Lietuvos Respublikos Seimo priimtą įstatymą. </w:t>
      </w:r>
    </w:p>
    <w:p w14:paraId="47F38340" w14:textId="77777777" w:rsidR="00F0446E" w:rsidRDefault="00F0446E">
      <w:pPr>
        <w:rPr>
          <w:color w:val="000000"/>
        </w:rPr>
      </w:pPr>
    </w:p>
    <w:p w14:paraId="47F38341" w14:textId="77777777" w:rsidR="00F0446E" w:rsidRDefault="00F0446E">
      <w:pPr>
        <w:rPr>
          <w:color w:val="000000"/>
        </w:rPr>
      </w:pPr>
    </w:p>
    <w:p w14:paraId="47F38342" w14:textId="77777777" w:rsidR="00F0446E" w:rsidRDefault="00F0446E">
      <w:pPr>
        <w:rPr>
          <w:color w:val="000000"/>
        </w:rPr>
      </w:pPr>
    </w:p>
    <w:p w14:paraId="47F38343" w14:textId="77777777" w:rsidR="00F0446E" w:rsidRDefault="00ED5D66">
      <w:pPr>
        <w:tabs>
          <w:tab w:val="right" w:pos="9639"/>
        </w:tabs>
      </w:pPr>
      <w:r>
        <w:t>LAIKINAI EINANTIS</w:t>
      </w:r>
      <w:bookmarkStart w:id="0" w:name="_GoBack"/>
      <w:bookmarkEnd w:id="0"/>
    </w:p>
    <w:p w14:paraId="47F38344" w14:textId="77777777" w:rsidR="00F0446E" w:rsidRDefault="00ED5D66">
      <w:pPr>
        <w:tabs>
          <w:tab w:val="right" w:pos="9639"/>
        </w:tabs>
      </w:pPr>
      <w:r>
        <w:t>RESPUBLIKOS PREZIDENTO PAREIGAS</w:t>
      </w:r>
      <w:r>
        <w:tab/>
        <w:t>ARTŪRAS PAULAUSKAS</w:t>
      </w:r>
    </w:p>
    <w:p w14:paraId="47F38345" w14:textId="77777777" w:rsidR="00F0446E" w:rsidRDefault="00ED5D66">
      <w:pPr>
        <w:ind w:firstLine="708"/>
      </w:pPr>
    </w:p>
    <w:sectPr w:rsidR="00F0446E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type w:val="continuous"/>
      <w:pgSz w:w="11907" w:h="16839" w:code="9"/>
      <w:pgMar w:top="1134" w:right="567" w:bottom="1134" w:left="1701" w:header="706" w:footer="706" w:gutter="0"/>
      <w:cols w:space="1296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38349" w14:textId="77777777" w:rsidR="00F0446E" w:rsidRDefault="00ED5D66">
      <w:r>
        <w:separator/>
      </w:r>
    </w:p>
  </w:endnote>
  <w:endnote w:type="continuationSeparator" w:id="0">
    <w:p w14:paraId="47F3834A" w14:textId="77777777" w:rsidR="00F0446E" w:rsidRDefault="00ED5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3834F" w14:textId="77777777" w:rsidR="00F0446E" w:rsidRDefault="00ED5D66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47F38350" w14:textId="77777777" w:rsidR="00F0446E" w:rsidRDefault="00F0446E">
    <w:pPr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38351" w14:textId="77777777" w:rsidR="00F0446E" w:rsidRDefault="00F0446E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38353" w14:textId="77777777" w:rsidR="00F0446E" w:rsidRDefault="00F0446E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38347" w14:textId="77777777" w:rsidR="00F0446E" w:rsidRDefault="00ED5D66">
      <w:r>
        <w:separator/>
      </w:r>
    </w:p>
  </w:footnote>
  <w:footnote w:type="continuationSeparator" w:id="0">
    <w:p w14:paraId="47F38348" w14:textId="77777777" w:rsidR="00F0446E" w:rsidRDefault="00ED5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3834B" w14:textId="77777777" w:rsidR="00F0446E" w:rsidRDefault="00ED5D66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47F3834C" w14:textId="77777777" w:rsidR="00F0446E" w:rsidRDefault="00ED5D66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47F3834D" w14:textId="77777777" w:rsidR="00F0446E" w:rsidRDefault="00F0446E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3834E" w14:textId="77777777" w:rsidR="00F0446E" w:rsidRDefault="00F0446E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38352" w14:textId="77777777" w:rsidR="00F0446E" w:rsidRDefault="00F0446E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87"/>
    <w:rsid w:val="00475287"/>
    <w:rsid w:val="00ED5D66"/>
    <w:rsid w:val="00F0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7F382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A7F77DF94F5D"/>
  <Relationship Id="rId11" Type="http://schemas.openxmlformats.org/officeDocument/2006/relationships/hyperlink" TargetMode="External" Target="https://www.e-tar.lt/portal/lt/legalAct/TAR.107E8AC92DB1"/>
  <Relationship Id="rId12" Type="http://schemas.openxmlformats.org/officeDocument/2006/relationships/hyperlink" TargetMode="External" Target="https://www.e-tar.lt/portal/lt/legalAct/TAR.6882E187A7BD"/>
  <Relationship Id="rId13" Type="http://schemas.openxmlformats.org/officeDocument/2006/relationships/hyperlink" TargetMode="External" Target="https://www.e-tar.lt/portal/lt/legalAct/TAR.2CE6CFE9E2EE"/>
  <Relationship Id="rId14" Type="http://schemas.openxmlformats.org/officeDocument/2006/relationships/hyperlink" TargetMode="External" Target="https://www.e-tar.lt/portal/lt/legalAct/TAR.90DDC4B19A07"/>
  <Relationship Id="rId15" Type="http://schemas.openxmlformats.org/officeDocument/2006/relationships/hyperlink" TargetMode="External" Target="https://www.e-tar.lt/portal/lt/legalAct/TAR.A14C258694ED"/>
  <Relationship Id="rId16" Type="http://schemas.openxmlformats.org/officeDocument/2006/relationships/hyperlink" TargetMode="External" Target="https://www.e-tar.lt/portal/lt/legalAct/TAR.6882E187A7BD"/>
  <Relationship Id="rId17" Type="http://schemas.openxmlformats.org/officeDocument/2006/relationships/hyperlink" TargetMode="External" Target="https://www.e-tar.lt/portal/lt/legalAct/TAR.ED38F243563C"/>
  <Relationship Id="rId18" Type="http://schemas.openxmlformats.org/officeDocument/2006/relationships/hyperlink" TargetMode="External" Target="https://www.e-tar.lt/portal/lt/legalAct/TAR.A6203CE52B84"/>
  <Relationship Id="rId19" Type="http://schemas.openxmlformats.org/officeDocument/2006/relationships/hyperlink" TargetMode="External" Target="https://www.e-tar.lt/portal/lt/legalAct/TAR.A766B68AB31D"/>
  <Relationship Id="rId2" Type="http://schemas.openxmlformats.org/officeDocument/2006/relationships/styles" Target="styles.xml"/>
  <Relationship Id="rId20" Type="http://schemas.openxmlformats.org/officeDocument/2006/relationships/hyperlink" TargetMode="External" Target="https://www.e-tar.lt/portal/lt/legalAct/TAR.F270E9DB8FA1"/>
  <Relationship Id="rId21" Type="http://schemas.openxmlformats.org/officeDocument/2006/relationships/hyperlink" TargetMode="External" Target="https://www.e-tar.lt/portal/lt/legalAct/TAR.7594F69437BF"/>
  <Relationship Id="rId22" Type="http://schemas.openxmlformats.org/officeDocument/2006/relationships/hyperlink" TargetMode="External" Target="https://www.e-tar.lt/portal/lt/legalAct/TAR.4693BF65085E"/>
  <Relationship Id="rId23" Type="http://schemas.openxmlformats.org/officeDocument/2006/relationships/hyperlink" TargetMode="External" Target="https://www.e-tar.lt/portal/lt/legalAct/TAR.6882E187A7BD"/>
  <Relationship Id="rId24" Type="http://schemas.openxmlformats.org/officeDocument/2006/relationships/hyperlink" TargetMode="External" Target="https://www.e-tar.lt/portal/lt/legalAct/TAR.9D04F98F7C14"/>
  <Relationship Id="rId25" Type="http://schemas.openxmlformats.org/officeDocument/2006/relationships/hyperlink" TargetMode="External" Target="https://www.e-tar.lt/portal/lt/legalAct/TAR.531C156856EF"/>
  <Relationship Id="rId26" Type="http://schemas.openxmlformats.org/officeDocument/2006/relationships/hyperlink" TargetMode="External" Target="https://www.e-tar.lt/portal/lt/legalAct/TAR.3EEE59417F13"/>
  <Relationship Id="rId27" Type="http://schemas.openxmlformats.org/officeDocument/2006/relationships/hyperlink" TargetMode="External" Target="https://www.e-tar.lt/portal/lt/legalAct/TAR.6AE3851DBCAA"/>
  <Relationship Id="rId28" Type="http://schemas.openxmlformats.org/officeDocument/2006/relationships/header" Target="header1.xml"/>
  <Relationship Id="rId29" Type="http://schemas.openxmlformats.org/officeDocument/2006/relationships/header" Target="header2.xml"/>
  <Relationship Id="rId3" Type="http://schemas.microsoft.com/office/2007/relationships/stylesWithEffects" Target="stylesWithEffects.xml"/>
  <Relationship Id="rId30" Type="http://schemas.openxmlformats.org/officeDocument/2006/relationships/footer" Target="footer1.xml"/>
  <Relationship Id="rId31" Type="http://schemas.openxmlformats.org/officeDocument/2006/relationships/footer" Target="footer2.xml"/>
  <Relationship Id="rId32" Type="http://schemas.openxmlformats.org/officeDocument/2006/relationships/header" Target="header3.xml"/>
  <Relationship Id="rId33" Type="http://schemas.openxmlformats.org/officeDocument/2006/relationships/footer" Target="footer3.xml"/>
  <Relationship Id="rId34" Type="http://schemas.openxmlformats.org/officeDocument/2006/relationships/fontTable" Target="fontTable.xml"/>
  <Relationship Id="rId35" Type="http://schemas.openxmlformats.org/officeDocument/2006/relationships/theme" Target="theme/theme1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5671</Words>
  <Characters>3233</Characters>
  <Application>Microsoft Office Word</Application>
  <DocSecurity>0</DocSecurity>
  <Lines>26</Lines>
  <Paragraphs>17</Paragraphs>
  <ScaleCrop>false</ScaleCrop>
  <Company/>
  <LinksUpToDate>false</LinksUpToDate>
  <CharactersWithSpaces>8887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2016-08-02T13:23:00Z</dcterms:created>
  <dc:creator>Tadeuš Buivid</dc:creator>
  <lastModifiedBy>JUOSPONIENĖ Karolina</lastModifiedBy>
  <dcterms:modified xsi:type="dcterms:W3CDTF">2016-08-03T07:30:00Z</dcterms:modified>
  <revision>3</revision>
</coreProperties>
</file>