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18BDB" w14:textId="77777777" w:rsidR="006E3E9C" w:rsidRDefault="006E3E9C">
      <w:pPr>
        <w:tabs>
          <w:tab w:val="center" w:pos="4153"/>
          <w:tab w:val="right" w:pos="8306"/>
        </w:tabs>
        <w:rPr>
          <w:lang w:val="en-GB"/>
        </w:rPr>
      </w:pPr>
    </w:p>
    <w:p w14:paraId="49518BDC" w14:textId="77777777" w:rsidR="006E3E9C" w:rsidRDefault="00722646">
      <w:pPr>
        <w:jc w:val="center"/>
        <w:rPr>
          <w:b/>
          <w:color w:val="000000"/>
        </w:rPr>
      </w:pPr>
      <w:r>
        <w:rPr>
          <w:b/>
          <w:color w:val="000000"/>
          <w:lang w:eastAsia="lt-LT"/>
        </w:rPr>
        <w:pict w14:anchorId="49518D41">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ŪKIO MINISTRO</w:t>
      </w:r>
    </w:p>
    <w:p w14:paraId="49518BDD" w14:textId="77777777" w:rsidR="006E3E9C" w:rsidRDefault="006E3E9C">
      <w:pPr>
        <w:jc w:val="center"/>
        <w:rPr>
          <w:color w:val="000000"/>
        </w:rPr>
      </w:pPr>
    </w:p>
    <w:p w14:paraId="49518BDE" w14:textId="77777777" w:rsidR="006E3E9C" w:rsidRDefault="00722646">
      <w:pPr>
        <w:jc w:val="center"/>
        <w:rPr>
          <w:b/>
          <w:color w:val="000000"/>
        </w:rPr>
      </w:pPr>
      <w:r>
        <w:rPr>
          <w:b/>
          <w:color w:val="000000"/>
        </w:rPr>
        <w:t>Į S A K Y M A S</w:t>
      </w:r>
    </w:p>
    <w:p w14:paraId="49518BDF" w14:textId="77777777" w:rsidR="006E3E9C" w:rsidRDefault="00722646">
      <w:pPr>
        <w:jc w:val="center"/>
        <w:rPr>
          <w:b/>
          <w:color w:val="000000"/>
        </w:rPr>
      </w:pPr>
      <w:r>
        <w:rPr>
          <w:b/>
          <w:color w:val="000000"/>
        </w:rPr>
        <w:t>DĖL KURO, KURIAM TAIKOMOS AKCIZŲ LENGVATOS, ŽYMĖJIMO TVARKOS IR KURO, KURIAM TAIKOMOS AKCIZŲ LENGVATOS, KONTROLĖS TVARKOS PATVIRTINIMO</w:t>
      </w:r>
    </w:p>
    <w:p w14:paraId="49518BE0" w14:textId="77777777" w:rsidR="006E3E9C" w:rsidRDefault="006E3E9C">
      <w:pPr>
        <w:jc w:val="center"/>
        <w:rPr>
          <w:color w:val="000000"/>
        </w:rPr>
      </w:pPr>
    </w:p>
    <w:p w14:paraId="49518BE1" w14:textId="77777777" w:rsidR="006E3E9C" w:rsidRDefault="00722646">
      <w:pPr>
        <w:jc w:val="center"/>
        <w:rPr>
          <w:color w:val="000000"/>
        </w:rPr>
      </w:pPr>
      <w:r>
        <w:rPr>
          <w:color w:val="000000"/>
        </w:rPr>
        <w:t>2002 m. birželio 3 d. Nr. 193</w:t>
      </w:r>
    </w:p>
    <w:p w14:paraId="49518BE2" w14:textId="77777777" w:rsidR="006E3E9C" w:rsidRDefault="00722646">
      <w:pPr>
        <w:jc w:val="center"/>
        <w:rPr>
          <w:color w:val="000000"/>
        </w:rPr>
      </w:pPr>
      <w:r>
        <w:rPr>
          <w:color w:val="000000"/>
        </w:rPr>
        <w:t>Vil</w:t>
      </w:r>
      <w:r>
        <w:rPr>
          <w:color w:val="000000"/>
        </w:rPr>
        <w:t>nius</w:t>
      </w:r>
    </w:p>
    <w:p w14:paraId="49518BE3" w14:textId="77777777" w:rsidR="006E3E9C" w:rsidRDefault="006E3E9C">
      <w:pPr>
        <w:ind w:firstLine="709"/>
        <w:rPr>
          <w:color w:val="000000"/>
        </w:rPr>
      </w:pPr>
    </w:p>
    <w:p w14:paraId="762FB21C" w14:textId="77777777" w:rsidR="00722646" w:rsidRDefault="00722646">
      <w:pPr>
        <w:ind w:firstLine="709"/>
        <w:rPr>
          <w:color w:val="000000"/>
        </w:rPr>
      </w:pPr>
    </w:p>
    <w:p w14:paraId="49518BE4" w14:textId="77777777" w:rsidR="006E3E9C" w:rsidRDefault="00722646">
      <w:pPr>
        <w:ind w:firstLine="709"/>
        <w:jc w:val="both"/>
      </w:pPr>
      <w:r>
        <w:t xml:space="preserve">Vykdydamas Lietuvos Respublikos Vyriausybės 2002 m. vasario 15 d. nutarimo Nr. 235 „Dėl įgaliojimų suteikimo įgyvendinant Lietuvos Respublikos akcizų įstatymo nuostatas“ (Žin., 2002, Nr. </w:t>
      </w:r>
      <w:hyperlink r:id="rId10" w:tgtFrame="_blank" w:history="1">
        <w:r>
          <w:rPr>
            <w:color w:val="0000FF" w:themeColor="hyperlink"/>
            <w:u w:val="single"/>
          </w:rPr>
          <w:t>17-682</w:t>
        </w:r>
      </w:hyperlink>
      <w:r>
        <w:t>) 1.3.1 ir 2 punktus:</w:t>
      </w:r>
    </w:p>
    <w:p w14:paraId="49518BE5" w14:textId="77777777" w:rsidR="006E3E9C" w:rsidRDefault="00722646">
      <w:pPr>
        <w:ind w:firstLine="709"/>
        <w:jc w:val="both"/>
      </w:pPr>
      <w:r>
        <w:t>1</w:t>
      </w:r>
      <w:r>
        <w:t xml:space="preserve">. </w:t>
      </w:r>
      <w:r>
        <w:rPr>
          <w:spacing w:val="60"/>
        </w:rPr>
        <w:t>Tvirtinu</w:t>
      </w:r>
      <w:r>
        <w:t xml:space="preserve"> pridedamas:</w:t>
      </w:r>
    </w:p>
    <w:p w14:paraId="49518BE6" w14:textId="77777777" w:rsidR="006E3E9C" w:rsidRDefault="00722646">
      <w:pPr>
        <w:ind w:firstLine="709"/>
        <w:jc w:val="both"/>
      </w:pPr>
      <w:r>
        <w:t>1.1</w:t>
      </w:r>
      <w:r>
        <w:t>. Kuro, kuriam taikomos akcizų lengvatos, žymėjimo tvarką.</w:t>
      </w:r>
    </w:p>
    <w:p w14:paraId="49518BE7" w14:textId="77777777" w:rsidR="006E3E9C" w:rsidRDefault="00722646">
      <w:pPr>
        <w:ind w:firstLine="709"/>
        <w:jc w:val="both"/>
      </w:pPr>
      <w:r>
        <w:t>1.2</w:t>
      </w:r>
      <w:r>
        <w:t>. Kuro, kuriam taikomos akcizų lengvatos, kontrolės tvarką.</w:t>
      </w:r>
    </w:p>
    <w:p w14:paraId="49518BEA" w14:textId="4A30A840" w:rsidR="006E3E9C" w:rsidRDefault="00722646">
      <w:pPr>
        <w:ind w:firstLine="709"/>
        <w:jc w:val="both"/>
      </w:pPr>
      <w:r>
        <w:t>2</w:t>
      </w:r>
      <w:r>
        <w:t xml:space="preserve">. </w:t>
      </w:r>
      <w:r>
        <w:rPr>
          <w:spacing w:val="60"/>
        </w:rPr>
        <w:t>Nustata</w:t>
      </w:r>
      <w:r>
        <w:t>u, kad 1.1 ir 1.2 punktuose nurodytos</w:t>
      </w:r>
      <w:r>
        <w:t xml:space="preserve"> tvarkos įsigalioja nuo 2002 m. liepos 1 d.</w:t>
      </w:r>
    </w:p>
    <w:p w14:paraId="3F61B434" w14:textId="77777777" w:rsidR="00722646" w:rsidRDefault="00722646" w:rsidP="00722646">
      <w:pPr>
        <w:tabs>
          <w:tab w:val="right" w:pos="9639"/>
        </w:tabs>
      </w:pPr>
    </w:p>
    <w:p w14:paraId="331C454C" w14:textId="77777777" w:rsidR="00722646" w:rsidRDefault="00722646" w:rsidP="00722646">
      <w:pPr>
        <w:tabs>
          <w:tab w:val="right" w:pos="9639"/>
        </w:tabs>
      </w:pPr>
    </w:p>
    <w:p w14:paraId="5E9B4382" w14:textId="77777777" w:rsidR="00722646" w:rsidRDefault="00722646" w:rsidP="00722646">
      <w:pPr>
        <w:tabs>
          <w:tab w:val="right" w:pos="9639"/>
        </w:tabs>
      </w:pPr>
    </w:p>
    <w:p w14:paraId="49518BEE" w14:textId="224B056F" w:rsidR="006E3E9C" w:rsidRPr="00722646" w:rsidRDefault="00722646" w:rsidP="00722646">
      <w:pPr>
        <w:tabs>
          <w:tab w:val="right" w:pos="9639"/>
        </w:tabs>
        <w:rPr>
          <w:caps/>
        </w:rPr>
      </w:pPr>
      <w:r>
        <w:rPr>
          <w:caps/>
        </w:rPr>
        <w:t>ŪKIO MINISTRAS</w:t>
      </w:r>
      <w:r>
        <w:rPr>
          <w:caps/>
        </w:rPr>
        <w:tab/>
        <w:t>PETRAS ČĖSNA</w:t>
      </w:r>
    </w:p>
    <w:p w14:paraId="49518BEF" w14:textId="77777777" w:rsidR="006E3E9C" w:rsidRDefault="00722646" w:rsidP="00722646">
      <w:pPr>
        <w:ind w:left="5102"/>
      </w:pPr>
      <w:r>
        <w:br w:type="page"/>
      </w:r>
      <w:r>
        <w:lastRenderedPageBreak/>
        <w:t>PATVIRTINTA</w:t>
      </w:r>
    </w:p>
    <w:p w14:paraId="49518BF0" w14:textId="77777777" w:rsidR="006E3E9C" w:rsidRDefault="00722646">
      <w:pPr>
        <w:ind w:firstLine="5102"/>
      </w:pPr>
      <w:r>
        <w:t>Lietuvos Respublikos ūkio ministro</w:t>
      </w:r>
    </w:p>
    <w:p w14:paraId="49518BF1" w14:textId="77777777" w:rsidR="006E3E9C" w:rsidRDefault="00722646">
      <w:pPr>
        <w:ind w:firstLine="5102"/>
      </w:pPr>
      <w:r>
        <w:t>2002 m. birželio 3 d. įsakymu Nr. 193</w:t>
      </w:r>
    </w:p>
    <w:p w14:paraId="49518BF2" w14:textId="77777777" w:rsidR="006E3E9C" w:rsidRDefault="006E3E9C">
      <w:pPr>
        <w:ind w:firstLine="709"/>
      </w:pPr>
    </w:p>
    <w:p w14:paraId="49518BF3" w14:textId="77777777" w:rsidR="006E3E9C" w:rsidRDefault="00722646">
      <w:pPr>
        <w:jc w:val="center"/>
        <w:rPr>
          <w:b/>
        </w:rPr>
      </w:pPr>
      <w:r>
        <w:rPr>
          <w:b/>
        </w:rPr>
        <w:t>KURO, KURIAM TAIKOMOS AKCIZŲ LENGVATOS, ŽYMĖJIMO TVARKA</w:t>
      </w:r>
    </w:p>
    <w:p w14:paraId="49518BF4" w14:textId="77777777" w:rsidR="006E3E9C" w:rsidRDefault="006E3E9C">
      <w:pPr>
        <w:jc w:val="center"/>
        <w:rPr>
          <w:b/>
        </w:rPr>
      </w:pPr>
    </w:p>
    <w:p w14:paraId="49518BF5" w14:textId="77777777" w:rsidR="006E3E9C" w:rsidRDefault="00722646">
      <w:pPr>
        <w:jc w:val="center"/>
        <w:rPr>
          <w:b/>
        </w:rPr>
      </w:pPr>
      <w:r>
        <w:rPr>
          <w:b/>
        </w:rPr>
        <w:t>I</w:t>
      </w:r>
      <w:r>
        <w:rPr>
          <w:b/>
        </w:rPr>
        <w:t xml:space="preserve">. </w:t>
      </w:r>
      <w:r>
        <w:rPr>
          <w:b/>
        </w:rPr>
        <w:t>BENDROSIOS NUOSTATOS</w:t>
      </w:r>
    </w:p>
    <w:p w14:paraId="49518BF6" w14:textId="77777777" w:rsidR="006E3E9C" w:rsidRDefault="006E3E9C">
      <w:pPr>
        <w:jc w:val="center"/>
        <w:rPr>
          <w:b/>
        </w:rPr>
      </w:pPr>
    </w:p>
    <w:p w14:paraId="49518BF7" w14:textId="77777777" w:rsidR="006E3E9C" w:rsidRDefault="00722646">
      <w:pPr>
        <w:ind w:firstLine="709"/>
        <w:jc w:val="both"/>
      </w:pPr>
      <w:r>
        <w:t>1</w:t>
      </w:r>
      <w:r>
        <w:t>. Kuro, kuriam taikomos akcizų lengvatos, žymėjimo tvarka (toliau – Tvarka) skirta:</w:t>
      </w:r>
    </w:p>
    <w:p w14:paraId="49518BF8" w14:textId="77777777" w:rsidR="006E3E9C" w:rsidRDefault="00722646">
      <w:pPr>
        <w:ind w:firstLine="709"/>
        <w:jc w:val="both"/>
      </w:pPr>
      <w:r>
        <w:t>1.1</w:t>
      </w:r>
      <w:r>
        <w:t>. kuro, kuriam taikomos akcizų lengvatos, žymėjimo (fiskalinio) reikalavimams nustatyti, kad jis išsiskirtų iš kuro, kuriam netaikomos akciz</w:t>
      </w:r>
      <w:r>
        <w:t>ų lengvatos;</w:t>
      </w:r>
    </w:p>
    <w:p w14:paraId="49518BF9" w14:textId="77777777" w:rsidR="006E3E9C" w:rsidRDefault="00722646">
      <w:pPr>
        <w:ind w:firstLine="709"/>
        <w:jc w:val="both"/>
      </w:pPr>
      <w:r>
        <w:t>1.2</w:t>
      </w:r>
      <w:r>
        <w:t>. kuro, kuriam taikomos akcizų lengvatos, panaudojimui pagal paskirtį užtikrinti.</w:t>
      </w:r>
    </w:p>
    <w:p w14:paraId="49518BFA" w14:textId="77777777" w:rsidR="006E3E9C" w:rsidRDefault="00722646">
      <w:pPr>
        <w:ind w:firstLine="709"/>
        <w:jc w:val="both"/>
      </w:pPr>
      <w:r>
        <w:t>2</w:t>
      </w:r>
      <w:r>
        <w:t>. Kuras, kuriam taikomos akcizų lengvatos:</w:t>
      </w:r>
    </w:p>
    <w:p w14:paraId="49518BFB" w14:textId="77777777" w:rsidR="006E3E9C" w:rsidRDefault="00722646">
      <w:pPr>
        <w:ind w:firstLine="709"/>
        <w:jc w:val="both"/>
      </w:pPr>
      <w:r>
        <w:t>2.1</w:t>
      </w:r>
      <w:r>
        <w:t>. šildymui skirtas kuras;</w:t>
      </w:r>
    </w:p>
    <w:p w14:paraId="49518BFC" w14:textId="77777777" w:rsidR="006E3E9C" w:rsidRDefault="00722646">
      <w:pPr>
        <w:ind w:firstLine="709"/>
        <w:jc w:val="both"/>
      </w:pPr>
      <w:r>
        <w:t>2.2</w:t>
      </w:r>
      <w:r>
        <w:t xml:space="preserve">. kitas kuras, kuriam taikomos akcizų lengvatos, – Vyriausybės ar </w:t>
      </w:r>
      <w:r>
        <w:t>jos įgaliotos institucijos nustatytais atvejais.</w:t>
      </w:r>
    </w:p>
    <w:p w14:paraId="49518BFD" w14:textId="77777777" w:rsidR="006E3E9C" w:rsidRDefault="00722646">
      <w:pPr>
        <w:ind w:firstLine="709"/>
        <w:jc w:val="both"/>
      </w:pPr>
    </w:p>
    <w:p w14:paraId="49518BFE" w14:textId="77777777" w:rsidR="006E3E9C" w:rsidRDefault="00722646">
      <w:pPr>
        <w:jc w:val="center"/>
        <w:rPr>
          <w:b/>
        </w:rPr>
      </w:pPr>
      <w:r>
        <w:rPr>
          <w:b/>
        </w:rPr>
        <w:t>II</w:t>
      </w:r>
      <w:r>
        <w:rPr>
          <w:b/>
        </w:rPr>
        <w:t xml:space="preserve">. </w:t>
      </w:r>
      <w:r>
        <w:rPr>
          <w:b/>
        </w:rPr>
        <w:t>PAGRINDINĖS SĄVOKOS</w:t>
      </w:r>
    </w:p>
    <w:p w14:paraId="49518BFF" w14:textId="77777777" w:rsidR="006E3E9C" w:rsidRDefault="006E3E9C">
      <w:pPr>
        <w:jc w:val="center"/>
        <w:rPr>
          <w:b/>
        </w:rPr>
      </w:pPr>
    </w:p>
    <w:p w14:paraId="49518C00" w14:textId="77777777" w:rsidR="006E3E9C" w:rsidRDefault="00722646">
      <w:pPr>
        <w:ind w:firstLine="709"/>
        <w:jc w:val="both"/>
      </w:pPr>
      <w:r>
        <w:t>3</w:t>
      </w:r>
      <w:r>
        <w:t xml:space="preserve">. </w:t>
      </w:r>
      <w:r>
        <w:rPr>
          <w:b/>
        </w:rPr>
        <w:t>Žymėjimo medžiagos</w:t>
      </w:r>
      <w:r>
        <w:t xml:space="preserve"> – cheminės medžiagos, skirtos kurui dažyti ir žymėti.</w:t>
      </w:r>
    </w:p>
    <w:p w14:paraId="49518C01" w14:textId="77777777" w:rsidR="006E3E9C" w:rsidRDefault="00722646">
      <w:pPr>
        <w:ind w:firstLine="709"/>
        <w:jc w:val="both"/>
      </w:pPr>
      <w:r>
        <w:t>4</w:t>
      </w:r>
      <w:r>
        <w:t xml:space="preserve">. </w:t>
      </w:r>
      <w:r>
        <w:rPr>
          <w:b/>
        </w:rPr>
        <w:t>Dažiklis</w:t>
      </w:r>
      <w:r>
        <w:t xml:space="preserve"> – žymėjimo medžiaga, suteikianti kurui spalvą.</w:t>
      </w:r>
    </w:p>
    <w:p w14:paraId="49518C02" w14:textId="77777777" w:rsidR="006E3E9C" w:rsidRDefault="00722646">
      <w:pPr>
        <w:ind w:firstLine="709"/>
        <w:jc w:val="both"/>
      </w:pPr>
      <w:r>
        <w:t>5</w:t>
      </w:r>
      <w:r>
        <w:t xml:space="preserve">. </w:t>
      </w:r>
      <w:r>
        <w:rPr>
          <w:b/>
        </w:rPr>
        <w:t>Žymiklis</w:t>
      </w:r>
      <w:r>
        <w:t xml:space="preserve"> – žymėjimo med</w:t>
      </w:r>
      <w:r>
        <w:t>žiaga, vizualiai nekeičianti kuro spalvos, nustatoma cheminės analizės metodais.</w:t>
      </w:r>
    </w:p>
    <w:p w14:paraId="49518C03" w14:textId="77777777" w:rsidR="006E3E9C" w:rsidRDefault="00722646">
      <w:pPr>
        <w:ind w:firstLine="709"/>
        <w:jc w:val="both"/>
      </w:pPr>
    </w:p>
    <w:p w14:paraId="49518C04" w14:textId="77777777" w:rsidR="006E3E9C" w:rsidRDefault="00722646">
      <w:pPr>
        <w:jc w:val="center"/>
        <w:rPr>
          <w:b/>
        </w:rPr>
      </w:pPr>
      <w:r>
        <w:rPr>
          <w:b/>
        </w:rPr>
        <w:t>III</w:t>
      </w:r>
      <w:r>
        <w:rPr>
          <w:b/>
        </w:rPr>
        <w:t xml:space="preserve">. </w:t>
      </w:r>
      <w:r>
        <w:rPr>
          <w:b/>
        </w:rPr>
        <w:t>DAŽIKLIŲ IR ŽYMIKLIŲ APRAŠYMAS</w:t>
      </w:r>
    </w:p>
    <w:p w14:paraId="49518C05" w14:textId="77777777" w:rsidR="006E3E9C" w:rsidRDefault="006E3E9C">
      <w:pPr>
        <w:jc w:val="center"/>
        <w:rPr>
          <w:b/>
        </w:rPr>
      </w:pPr>
    </w:p>
    <w:p w14:paraId="49518C06" w14:textId="77777777" w:rsidR="006E3E9C" w:rsidRDefault="00722646">
      <w:pPr>
        <w:ind w:firstLine="709"/>
        <w:jc w:val="both"/>
      </w:pPr>
      <w:r>
        <w:t>6</w:t>
      </w:r>
      <w:r>
        <w:t>. Kuras žymimas dažikliu ir žymikliu, tirpstančiais kure ir nereaguojančiais su juo.</w:t>
      </w:r>
    </w:p>
    <w:p w14:paraId="49518C07" w14:textId="77777777" w:rsidR="006E3E9C" w:rsidRDefault="00722646">
      <w:pPr>
        <w:ind w:firstLine="709"/>
        <w:jc w:val="both"/>
      </w:pPr>
      <w:r>
        <w:t>7</w:t>
      </w:r>
      <w:r>
        <w:t>. Skirtingų gamintojų dažikliai, kur</w:t>
      </w:r>
      <w:r>
        <w:t>ių cheminė formulė yra vienoda, gali turėti skirtingą prekės pavadinimą.</w:t>
      </w:r>
    </w:p>
    <w:p w14:paraId="49518C08" w14:textId="77777777" w:rsidR="006E3E9C" w:rsidRDefault="00722646">
      <w:pPr>
        <w:ind w:firstLine="709"/>
        <w:jc w:val="both"/>
      </w:pPr>
      <w:r>
        <w:t>8</w:t>
      </w:r>
      <w:r>
        <w:t>. Ištirpusios žymėjimo medžiagos turi būti pastebimos vizualiai arba nustatomos cheminiais testais, arba pastebimos vizualiai ir nustatomos cheminiais testais.</w:t>
      </w:r>
    </w:p>
    <w:p w14:paraId="49518C09" w14:textId="77777777" w:rsidR="006E3E9C" w:rsidRDefault="00722646">
      <w:pPr>
        <w:ind w:firstLine="709"/>
        <w:jc w:val="both"/>
      </w:pPr>
    </w:p>
    <w:p w14:paraId="49518C0A" w14:textId="4E623268" w:rsidR="006E3E9C" w:rsidRDefault="00722646">
      <w:pPr>
        <w:jc w:val="center"/>
        <w:rPr>
          <w:b/>
        </w:rPr>
      </w:pPr>
      <w:r>
        <w:rPr>
          <w:b/>
        </w:rPr>
        <w:t>IV</w:t>
      </w:r>
      <w:r>
        <w:rPr>
          <w:b/>
        </w:rPr>
        <w:t xml:space="preserve">. </w:t>
      </w:r>
      <w:r>
        <w:rPr>
          <w:b/>
        </w:rPr>
        <w:t xml:space="preserve">KURO </w:t>
      </w:r>
      <w:r>
        <w:rPr>
          <w:b/>
        </w:rPr>
        <w:t>ŽYMĖJIMAS</w:t>
      </w:r>
    </w:p>
    <w:p w14:paraId="49518C0B" w14:textId="77777777" w:rsidR="006E3E9C" w:rsidRDefault="006E3E9C">
      <w:pPr>
        <w:jc w:val="center"/>
        <w:rPr>
          <w:b/>
        </w:rPr>
      </w:pPr>
    </w:p>
    <w:p w14:paraId="49518C0C" w14:textId="77777777" w:rsidR="006E3E9C" w:rsidRDefault="00722646">
      <w:pPr>
        <w:ind w:firstLine="709"/>
        <w:jc w:val="both"/>
      </w:pPr>
      <w:r>
        <w:t>9</w:t>
      </w:r>
      <w:r>
        <w:t xml:space="preserve">. Kuras žymimas akcizais apmokestinamų prekių sandėlyje arba užsienio šalyse, jei kuras bus importuojamas. Importuojamas kuras, kuriam taikomos akcizų lengvatos, dažomas ir žymimas tokiomis pačiomis žymėjimo medžiagomis, kaip nustatyta </w:t>
      </w:r>
      <w:r>
        <w:t>priede, nurodant kokybės pažymėjime, pase ar sertifikate dažiklio, žymiklio koncentracijas svorio vienete bei spalvos skaičius, nustatytus ASTM D 1500 metodu.</w:t>
      </w:r>
    </w:p>
    <w:p w14:paraId="49518C0D" w14:textId="77777777" w:rsidR="006E3E9C" w:rsidRDefault="00722646">
      <w:pPr>
        <w:ind w:firstLine="709"/>
        <w:jc w:val="both"/>
      </w:pPr>
      <w:r>
        <w:t>10</w:t>
      </w:r>
      <w:r>
        <w:t>. Kuras, nudažytas ir pažymėtas kitomis nei nurodyta priede žymėjimo medžiagomis, ir tuo at</w:t>
      </w:r>
      <w:r>
        <w:t>veju, kai jis pažymėtas priede nurodytomis, tačiau mažesnės koncentracijos medžiagomis, akcizu apmokestinamas bendrąja tvarka.</w:t>
      </w:r>
    </w:p>
    <w:p w14:paraId="49518C0E" w14:textId="77777777" w:rsidR="006E3E9C" w:rsidRDefault="00722646">
      <w:pPr>
        <w:ind w:firstLine="709"/>
        <w:jc w:val="both"/>
      </w:pPr>
      <w:r>
        <w:t>11</w:t>
      </w:r>
      <w:r>
        <w:t>. Žymėjimo medžiagos importuojamos ir laikomos tik akcizais apmokestinamų prekių sandėliuose, kuriuose kuras yra žymimas.</w:t>
      </w:r>
    </w:p>
    <w:p w14:paraId="49518C0F" w14:textId="77777777" w:rsidR="006E3E9C" w:rsidRDefault="00722646">
      <w:pPr>
        <w:ind w:firstLine="709"/>
        <w:jc w:val="both"/>
      </w:pPr>
      <w:r>
        <w:t>12</w:t>
      </w:r>
      <w:r>
        <w:t>. Žymint kurą, turi būti užtikrinta mažiausia žymėjimo medžiagų koncentracija, kaip nurodyta priede.</w:t>
      </w:r>
    </w:p>
    <w:p w14:paraId="49518C10" w14:textId="77777777" w:rsidR="006E3E9C" w:rsidRDefault="00722646">
      <w:pPr>
        <w:ind w:firstLine="709"/>
        <w:jc w:val="both"/>
      </w:pPr>
      <w:r>
        <w:t>13</w:t>
      </w:r>
      <w:r>
        <w:t>. Žymėjimo medžiagų sumaišymo su kuru technologijas pasirenka kurą žyminčios įmonės.</w:t>
      </w:r>
    </w:p>
    <w:p w14:paraId="49518C11" w14:textId="77777777" w:rsidR="006E3E9C" w:rsidRDefault="00722646">
      <w:pPr>
        <w:ind w:firstLine="709"/>
        <w:jc w:val="both"/>
      </w:pPr>
      <w:r>
        <w:t>14</w:t>
      </w:r>
      <w:r>
        <w:t>. Žymėjimo medžiagos turi būti tolygiai pasiskirsčius</w:t>
      </w:r>
      <w:r>
        <w:t>ios visame žymėto kuro tūryje.</w:t>
      </w:r>
    </w:p>
    <w:p w14:paraId="49518C12" w14:textId="77777777" w:rsidR="006E3E9C" w:rsidRDefault="00722646">
      <w:pPr>
        <w:ind w:firstLine="709"/>
        <w:jc w:val="both"/>
      </w:pPr>
      <w:r>
        <w:t>15</w:t>
      </w:r>
      <w:r>
        <w:t>. Įmonė, žyminti kurą, užtikrina, kad kuras yra pažymėtas pagal visus nustatytus reikalavimus.</w:t>
      </w:r>
    </w:p>
    <w:p w14:paraId="49518C13" w14:textId="77777777" w:rsidR="006E3E9C" w:rsidRDefault="00722646">
      <w:pPr>
        <w:ind w:firstLine="709"/>
        <w:jc w:val="both"/>
      </w:pPr>
      <w:r>
        <w:t>16</w:t>
      </w:r>
      <w:r>
        <w:t>. Kuras, kuriam taikomos akcizų lengvatos, turi būti žymimas dažikliu ir žymikliu arba jų mišiniu. Kuras, kurio spalva</w:t>
      </w:r>
      <w:r>
        <w:t xml:space="preserve"> nustatyta ASTM D 1500 metodu daugiau kaip 3, žymimas tik žymikliu.</w:t>
      </w:r>
    </w:p>
    <w:p w14:paraId="49518C14" w14:textId="77777777" w:rsidR="006E3E9C" w:rsidRDefault="00722646">
      <w:pPr>
        <w:ind w:firstLine="709"/>
        <w:jc w:val="both"/>
      </w:pPr>
      <w:r>
        <w:t>17</w:t>
      </w:r>
      <w:r>
        <w:t>. Kiekvienos žymėto kuro partijos produkto kokybės pažymėjime (sertifikate, pase) turi būti nurodyta žymėjimo medžiagos pavadinimas, jos koncentracija (mg/kg) ir spalva, nustatyta AS</w:t>
      </w:r>
      <w:r>
        <w:t>TM D 1500 metodu.</w:t>
      </w:r>
    </w:p>
    <w:p w14:paraId="49518C15" w14:textId="3B41D25B" w:rsidR="006E3E9C" w:rsidRDefault="00722646">
      <w:pPr>
        <w:ind w:firstLine="709"/>
        <w:jc w:val="both"/>
      </w:pPr>
      <w:r>
        <w:t>18</w:t>
      </w:r>
      <w:r>
        <w:t>. Konkrečių produktų žymėjimo reikalavimai pateikiami priede.</w:t>
      </w:r>
    </w:p>
    <w:p w14:paraId="49518C18" w14:textId="66CCC500" w:rsidR="006E3E9C" w:rsidRDefault="00722646" w:rsidP="00722646">
      <w:pPr>
        <w:jc w:val="center"/>
      </w:pPr>
      <w:r>
        <w:t>______________</w:t>
      </w:r>
    </w:p>
    <w:p w14:paraId="49518C19" w14:textId="77777777" w:rsidR="006E3E9C" w:rsidRDefault="00722646" w:rsidP="00722646">
      <w:pPr>
        <w:ind w:left="5102"/>
      </w:pPr>
      <w:r>
        <w:br w:type="page"/>
      </w:r>
      <w:r>
        <w:lastRenderedPageBreak/>
        <w:t>Kuro, kuriam taikomos akcizų</w:t>
      </w:r>
    </w:p>
    <w:p w14:paraId="49518C1A" w14:textId="77777777" w:rsidR="006E3E9C" w:rsidRDefault="00722646">
      <w:pPr>
        <w:ind w:firstLine="5102"/>
      </w:pPr>
      <w:r>
        <w:t>lengvatos, žymėjimo tvarkos</w:t>
      </w:r>
    </w:p>
    <w:p w14:paraId="49518C1B" w14:textId="77777777" w:rsidR="006E3E9C" w:rsidRDefault="00722646">
      <w:pPr>
        <w:ind w:firstLine="5102"/>
      </w:pPr>
      <w:r>
        <w:t>1</w:t>
      </w:r>
      <w:r>
        <w:t xml:space="preserve"> priedas</w:t>
      </w:r>
    </w:p>
    <w:p w14:paraId="49518C1C" w14:textId="77777777" w:rsidR="006E3E9C" w:rsidRDefault="006E3E9C">
      <w:pPr>
        <w:ind w:firstLine="709"/>
      </w:pPr>
    </w:p>
    <w:p w14:paraId="49518C1D" w14:textId="77777777" w:rsidR="006E3E9C" w:rsidRDefault="00722646">
      <w:pPr>
        <w:jc w:val="center"/>
        <w:rPr>
          <w:b/>
        </w:rPr>
      </w:pPr>
      <w:r>
        <w:rPr>
          <w:b/>
        </w:rPr>
        <w:t>ŠILDYMUI SKIRTAS KURAS IR JO ŽYMĖJIMAS</w:t>
      </w:r>
    </w:p>
    <w:p w14:paraId="49518C1E" w14:textId="77777777" w:rsidR="006E3E9C" w:rsidRDefault="006E3E9C">
      <w:pPr>
        <w:jc w:val="center"/>
        <w:rPr>
          <w:b/>
        </w:rPr>
      </w:pPr>
    </w:p>
    <w:p w14:paraId="49518C1F" w14:textId="77777777" w:rsidR="006E3E9C" w:rsidRDefault="00722646">
      <w:pPr>
        <w:ind w:firstLine="709"/>
        <w:jc w:val="both"/>
      </w:pPr>
      <w:r>
        <w:t>1</w:t>
      </w:r>
      <w:r>
        <w:t>. Žymėjimui naudojamos medžiago</w:t>
      </w:r>
      <w:r>
        <w:t>s:</w:t>
      </w:r>
    </w:p>
    <w:p w14:paraId="49518C20" w14:textId="77777777" w:rsidR="006E3E9C" w:rsidRDefault="006E3E9C">
      <w:pPr>
        <w:ind w:firstLine="709"/>
        <w:jc w:val="both"/>
      </w:pPr>
    </w:p>
    <w:tbl>
      <w:tblPr>
        <w:tblW w:w="9637"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4504"/>
        <w:gridCol w:w="1229"/>
        <w:gridCol w:w="1234"/>
        <w:gridCol w:w="2115"/>
      </w:tblGrid>
      <w:tr w:rsidR="006E3E9C" w14:paraId="49518C26" w14:textId="77777777">
        <w:tc>
          <w:tcPr>
            <w:tcW w:w="510" w:type="dxa"/>
            <w:tcBorders>
              <w:top w:val="single" w:sz="4" w:space="0" w:color="auto"/>
              <w:left w:val="nil"/>
              <w:bottom w:val="nil"/>
              <w:right w:val="single" w:sz="4" w:space="0" w:color="auto"/>
            </w:tcBorders>
          </w:tcPr>
          <w:p w14:paraId="49518C21" w14:textId="77777777" w:rsidR="006E3E9C" w:rsidRDefault="00722646">
            <w:pPr>
              <w:snapToGrid w:val="0"/>
              <w:rPr>
                <w:sz w:val="20"/>
              </w:rPr>
            </w:pPr>
            <w:r>
              <w:rPr>
                <w:sz w:val="20"/>
              </w:rPr>
              <w:t xml:space="preserve">Eil. Nr. </w:t>
            </w:r>
          </w:p>
        </w:tc>
        <w:tc>
          <w:tcPr>
            <w:tcW w:w="4139" w:type="dxa"/>
            <w:tcBorders>
              <w:top w:val="single" w:sz="4" w:space="0" w:color="auto"/>
              <w:left w:val="single" w:sz="4" w:space="0" w:color="auto"/>
              <w:bottom w:val="nil"/>
              <w:right w:val="single" w:sz="4" w:space="0" w:color="auto"/>
            </w:tcBorders>
          </w:tcPr>
          <w:p w14:paraId="49518C22" w14:textId="77777777" w:rsidR="006E3E9C" w:rsidRDefault="00722646">
            <w:pPr>
              <w:snapToGrid w:val="0"/>
              <w:rPr>
                <w:sz w:val="20"/>
              </w:rPr>
            </w:pPr>
            <w:r>
              <w:rPr>
                <w:sz w:val="20"/>
              </w:rPr>
              <w:t>Žymėjimo medžiagos pavadinimas</w:t>
            </w:r>
          </w:p>
        </w:tc>
        <w:tc>
          <w:tcPr>
            <w:tcW w:w="1129" w:type="dxa"/>
            <w:tcBorders>
              <w:top w:val="single" w:sz="4" w:space="0" w:color="auto"/>
              <w:left w:val="single" w:sz="4" w:space="0" w:color="auto"/>
              <w:bottom w:val="nil"/>
              <w:right w:val="single" w:sz="4" w:space="0" w:color="auto"/>
            </w:tcBorders>
          </w:tcPr>
          <w:p w14:paraId="49518C23" w14:textId="77777777" w:rsidR="006E3E9C" w:rsidRDefault="00722646">
            <w:pPr>
              <w:snapToGrid w:val="0"/>
              <w:rPr>
                <w:sz w:val="20"/>
              </w:rPr>
            </w:pPr>
            <w:r>
              <w:rPr>
                <w:sz w:val="20"/>
              </w:rPr>
              <w:t>Žymėjimo medžiagos paskirtis</w:t>
            </w:r>
          </w:p>
        </w:tc>
        <w:tc>
          <w:tcPr>
            <w:tcW w:w="1134" w:type="dxa"/>
            <w:tcBorders>
              <w:top w:val="single" w:sz="4" w:space="0" w:color="auto"/>
              <w:left w:val="single" w:sz="4" w:space="0" w:color="auto"/>
              <w:bottom w:val="nil"/>
              <w:right w:val="single" w:sz="4" w:space="0" w:color="auto"/>
            </w:tcBorders>
          </w:tcPr>
          <w:p w14:paraId="49518C24" w14:textId="77777777" w:rsidR="006E3E9C" w:rsidRDefault="00722646">
            <w:pPr>
              <w:snapToGrid w:val="0"/>
              <w:rPr>
                <w:sz w:val="20"/>
              </w:rPr>
            </w:pPr>
            <w:r>
              <w:rPr>
                <w:sz w:val="20"/>
              </w:rPr>
              <w:t>Žymėjimo medžiagos spalva</w:t>
            </w:r>
          </w:p>
        </w:tc>
        <w:tc>
          <w:tcPr>
            <w:tcW w:w="1944" w:type="dxa"/>
            <w:tcBorders>
              <w:top w:val="single" w:sz="4" w:space="0" w:color="auto"/>
              <w:left w:val="single" w:sz="4" w:space="0" w:color="auto"/>
              <w:bottom w:val="nil"/>
              <w:right w:val="nil"/>
            </w:tcBorders>
          </w:tcPr>
          <w:p w14:paraId="49518C25" w14:textId="77777777" w:rsidR="006E3E9C" w:rsidRDefault="00722646">
            <w:pPr>
              <w:snapToGrid w:val="0"/>
              <w:rPr>
                <w:sz w:val="20"/>
              </w:rPr>
            </w:pPr>
            <w:r>
              <w:rPr>
                <w:sz w:val="20"/>
              </w:rPr>
              <w:t>Žymėjimo medžiagų dozavimo minimali koncentracija, mg/kg</w:t>
            </w:r>
          </w:p>
        </w:tc>
      </w:tr>
      <w:tr w:rsidR="006E3E9C" w14:paraId="49518C2C" w14:textId="77777777">
        <w:tc>
          <w:tcPr>
            <w:tcW w:w="510" w:type="dxa"/>
            <w:tcBorders>
              <w:top w:val="nil"/>
              <w:left w:val="nil"/>
              <w:bottom w:val="single" w:sz="4" w:space="0" w:color="auto"/>
              <w:right w:val="single" w:sz="4" w:space="0" w:color="auto"/>
            </w:tcBorders>
          </w:tcPr>
          <w:p w14:paraId="49518C27" w14:textId="77777777" w:rsidR="006E3E9C" w:rsidRDefault="006E3E9C">
            <w:pPr>
              <w:snapToGrid w:val="0"/>
              <w:rPr>
                <w:sz w:val="20"/>
              </w:rPr>
            </w:pPr>
          </w:p>
        </w:tc>
        <w:tc>
          <w:tcPr>
            <w:tcW w:w="4139" w:type="dxa"/>
            <w:tcBorders>
              <w:top w:val="nil"/>
              <w:left w:val="single" w:sz="4" w:space="0" w:color="auto"/>
              <w:bottom w:val="single" w:sz="4" w:space="0" w:color="auto"/>
              <w:right w:val="single" w:sz="4" w:space="0" w:color="auto"/>
            </w:tcBorders>
          </w:tcPr>
          <w:p w14:paraId="49518C28" w14:textId="77777777" w:rsidR="006E3E9C" w:rsidRDefault="006E3E9C">
            <w:pPr>
              <w:snapToGrid w:val="0"/>
              <w:rPr>
                <w:sz w:val="20"/>
              </w:rPr>
            </w:pPr>
          </w:p>
        </w:tc>
        <w:tc>
          <w:tcPr>
            <w:tcW w:w="1129" w:type="dxa"/>
            <w:tcBorders>
              <w:top w:val="nil"/>
              <w:left w:val="single" w:sz="4" w:space="0" w:color="auto"/>
              <w:bottom w:val="single" w:sz="4" w:space="0" w:color="auto"/>
              <w:right w:val="single" w:sz="4" w:space="0" w:color="auto"/>
            </w:tcBorders>
          </w:tcPr>
          <w:p w14:paraId="49518C29" w14:textId="77777777" w:rsidR="006E3E9C" w:rsidRDefault="006E3E9C">
            <w:pPr>
              <w:snapToGrid w:val="0"/>
              <w:rPr>
                <w:sz w:val="20"/>
              </w:rPr>
            </w:pPr>
          </w:p>
        </w:tc>
        <w:tc>
          <w:tcPr>
            <w:tcW w:w="1134" w:type="dxa"/>
            <w:tcBorders>
              <w:top w:val="nil"/>
              <w:left w:val="single" w:sz="4" w:space="0" w:color="auto"/>
              <w:bottom w:val="single" w:sz="4" w:space="0" w:color="auto"/>
              <w:right w:val="single" w:sz="4" w:space="0" w:color="auto"/>
            </w:tcBorders>
          </w:tcPr>
          <w:p w14:paraId="49518C2A" w14:textId="77777777" w:rsidR="006E3E9C" w:rsidRDefault="006E3E9C">
            <w:pPr>
              <w:snapToGrid w:val="0"/>
              <w:rPr>
                <w:sz w:val="20"/>
              </w:rPr>
            </w:pPr>
          </w:p>
        </w:tc>
        <w:tc>
          <w:tcPr>
            <w:tcW w:w="1944" w:type="dxa"/>
            <w:tcBorders>
              <w:top w:val="nil"/>
              <w:left w:val="single" w:sz="4" w:space="0" w:color="auto"/>
              <w:bottom w:val="single" w:sz="4" w:space="0" w:color="auto"/>
              <w:right w:val="nil"/>
            </w:tcBorders>
          </w:tcPr>
          <w:p w14:paraId="49518C2B" w14:textId="77777777" w:rsidR="006E3E9C" w:rsidRDefault="006E3E9C">
            <w:pPr>
              <w:snapToGrid w:val="0"/>
              <w:rPr>
                <w:sz w:val="20"/>
              </w:rPr>
            </w:pPr>
          </w:p>
        </w:tc>
      </w:tr>
      <w:tr w:rsidR="006E3E9C" w14:paraId="49518C32" w14:textId="77777777">
        <w:tc>
          <w:tcPr>
            <w:tcW w:w="510" w:type="dxa"/>
            <w:tcBorders>
              <w:top w:val="single" w:sz="4" w:space="0" w:color="auto"/>
              <w:left w:val="nil"/>
              <w:bottom w:val="nil"/>
              <w:right w:val="nil"/>
            </w:tcBorders>
          </w:tcPr>
          <w:p w14:paraId="49518C2D" w14:textId="77777777" w:rsidR="006E3E9C" w:rsidRDefault="00722646">
            <w:pPr>
              <w:snapToGrid w:val="0"/>
              <w:rPr>
                <w:sz w:val="20"/>
              </w:rPr>
            </w:pPr>
            <w:r>
              <w:rPr>
                <w:sz w:val="20"/>
              </w:rPr>
              <w:t>1.</w:t>
            </w:r>
          </w:p>
        </w:tc>
        <w:tc>
          <w:tcPr>
            <w:tcW w:w="4139" w:type="dxa"/>
            <w:tcBorders>
              <w:top w:val="single" w:sz="4" w:space="0" w:color="auto"/>
              <w:left w:val="nil"/>
              <w:bottom w:val="nil"/>
              <w:right w:val="nil"/>
            </w:tcBorders>
          </w:tcPr>
          <w:p w14:paraId="49518C2E" w14:textId="77777777" w:rsidR="006E3E9C" w:rsidRDefault="00722646">
            <w:pPr>
              <w:snapToGrid w:val="0"/>
              <w:rPr>
                <w:b/>
                <w:sz w:val="20"/>
              </w:rPr>
            </w:pPr>
            <w:r>
              <w:rPr>
                <w:sz w:val="20"/>
              </w:rPr>
              <w:t>N-etil-1-(fenilazofenilazo)-2-aminonaftalenas</w:t>
            </w:r>
          </w:p>
        </w:tc>
        <w:tc>
          <w:tcPr>
            <w:tcW w:w="1129" w:type="dxa"/>
            <w:tcBorders>
              <w:top w:val="single" w:sz="4" w:space="0" w:color="auto"/>
              <w:left w:val="nil"/>
              <w:bottom w:val="nil"/>
              <w:right w:val="nil"/>
            </w:tcBorders>
          </w:tcPr>
          <w:p w14:paraId="49518C2F" w14:textId="77777777" w:rsidR="006E3E9C" w:rsidRDefault="00722646">
            <w:pPr>
              <w:snapToGrid w:val="0"/>
              <w:rPr>
                <w:sz w:val="20"/>
              </w:rPr>
            </w:pPr>
            <w:r>
              <w:rPr>
                <w:sz w:val="20"/>
              </w:rPr>
              <w:t>Dažiklis*</w:t>
            </w:r>
          </w:p>
        </w:tc>
        <w:tc>
          <w:tcPr>
            <w:tcW w:w="1134" w:type="dxa"/>
            <w:tcBorders>
              <w:top w:val="single" w:sz="4" w:space="0" w:color="auto"/>
              <w:left w:val="nil"/>
              <w:bottom w:val="nil"/>
              <w:right w:val="nil"/>
            </w:tcBorders>
          </w:tcPr>
          <w:p w14:paraId="49518C30" w14:textId="77777777" w:rsidR="006E3E9C" w:rsidRDefault="00722646">
            <w:pPr>
              <w:snapToGrid w:val="0"/>
              <w:rPr>
                <w:sz w:val="20"/>
              </w:rPr>
            </w:pPr>
            <w:r>
              <w:rPr>
                <w:sz w:val="20"/>
              </w:rPr>
              <w:t>Raudona</w:t>
            </w:r>
          </w:p>
        </w:tc>
        <w:tc>
          <w:tcPr>
            <w:tcW w:w="1944" w:type="dxa"/>
            <w:tcBorders>
              <w:top w:val="single" w:sz="4" w:space="0" w:color="auto"/>
              <w:left w:val="nil"/>
              <w:bottom w:val="nil"/>
              <w:right w:val="nil"/>
            </w:tcBorders>
          </w:tcPr>
          <w:p w14:paraId="49518C31" w14:textId="77777777" w:rsidR="006E3E9C" w:rsidRDefault="00722646">
            <w:pPr>
              <w:snapToGrid w:val="0"/>
              <w:rPr>
                <w:sz w:val="20"/>
              </w:rPr>
            </w:pPr>
            <w:r>
              <w:rPr>
                <w:sz w:val="20"/>
              </w:rPr>
              <w:t>5,0</w:t>
            </w:r>
          </w:p>
        </w:tc>
      </w:tr>
      <w:tr w:rsidR="006E3E9C" w14:paraId="49518C38" w14:textId="77777777">
        <w:tc>
          <w:tcPr>
            <w:tcW w:w="510" w:type="dxa"/>
            <w:tcBorders>
              <w:top w:val="nil"/>
              <w:left w:val="nil"/>
              <w:bottom w:val="nil"/>
              <w:right w:val="nil"/>
            </w:tcBorders>
          </w:tcPr>
          <w:p w14:paraId="49518C33" w14:textId="77777777" w:rsidR="006E3E9C" w:rsidRDefault="00722646">
            <w:pPr>
              <w:snapToGrid w:val="0"/>
              <w:rPr>
                <w:sz w:val="20"/>
              </w:rPr>
            </w:pPr>
            <w:r>
              <w:rPr>
                <w:sz w:val="20"/>
              </w:rPr>
              <w:t>2.</w:t>
            </w:r>
          </w:p>
        </w:tc>
        <w:tc>
          <w:tcPr>
            <w:tcW w:w="4139" w:type="dxa"/>
            <w:tcBorders>
              <w:top w:val="nil"/>
              <w:left w:val="nil"/>
              <w:bottom w:val="nil"/>
              <w:right w:val="nil"/>
            </w:tcBorders>
          </w:tcPr>
          <w:p w14:paraId="49518C34" w14:textId="77777777" w:rsidR="006E3E9C" w:rsidRDefault="00722646">
            <w:pPr>
              <w:snapToGrid w:val="0"/>
              <w:rPr>
                <w:sz w:val="20"/>
              </w:rPr>
            </w:pPr>
            <w:r>
              <w:rPr>
                <w:sz w:val="20"/>
              </w:rPr>
              <w:t>N-etilheksil-1-(tolilazotolilazo)-2-aminonaftalenas</w:t>
            </w:r>
          </w:p>
        </w:tc>
        <w:tc>
          <w:tcPr>
            <w:tcW w:w="1129" w:type="dxa"/>
            <w:tcBorders>
              <w:top w:val="nil"/>
              <w:left w:val="nil"/>
              <w:bottom w:val="nil"/>
              <w:right w:val="nil"/>
            </w:tcBorders>
          </w:tcPr>
          <w:p w14:paraId="49518C35" w14:textId="77777777" w:rsidR="006E3E9C" w:rsidRDefault="00722646">
            <w:pPr>
              <w:snapToGrid w:val="0"/>
              <w:rPr>
                <w:sz w:val="20"/>
              </w:rPr>
            </w:pPr>
            <w:r>
              <w:rPr>
                <w:sz w:val="20"/>
              </w:rPr>
              <w:t>Dažiklis*</w:t>
            </w:r>
          </w:p>
        </w:tc>
        <w:tc>
          <w:tcPr>
            <w:tcW w:w="1134" w:type="dxa"/>
            <w:tcBorders>
              <w:top w:val="nil"/>
              <w:left w:val="nil"/>
              <w:bottom w:val="nil"/>
              <w:right w:val="nil"/>
            </w:tcBorders>
          </w:tcPr>
          <w:p w14:paraId="49518C36" w14:textId="77777777" w:rsidR="006E3E9C" w:rsidRDefault="00722646">
            <w:pPr>
              <w:snapToGrid w:val="0"/>
              <w:rPr>
                <w:sz w:val="20"/>
              </w:rPr>
            </w:pPr>
            <w:r>
              <w:rPr>
                <w:sz w:val="20"/>
              </w:rPr>
              <w:t>Raudona</w:t>
            </w:r>
          </w:p>
        </w:tc>
        <w:tc>
          <w:tcPr>
            <w:tcW w:w="1944" w:type="dxa"/>
            <w:tcBorders>
              <w:top w:val="nil"/>
              <w:left w:val="nil"/>
              <w:bottom w:val="nil"/>
              <w:right w:val="nil"/>
            </w:tcBorders>
          </w:tcPr>
          <w:p w14:paraId="49518C37" w14:textId="77777777" w:rsidR="006E3E9C" w:rsidRDefault="00722646">
            <w:pPr>
              <w:snapToGrid w:val="0"/>
              <w:rPr>
                <w:sz w:val="20"/>
              </w:rPr>
            </w:pPr>
            <w:r>
              <w:rPr>
                <w:sz w:val="20"/>
              </w:rPr>
              <w:t>6,5</w:t>
            </w:r>
          </w:p>
        </w:tc>
      </w:tr>
      <w:tr w:rsidR="006E3E9C" w14:paraId="49518C3E" w14:textId="77777777">
        <w:tc>
          <w:tcPr>
            <w:tcW w:w="510" w:type="dxa"/>
            <w:tcBorders>
              <w:top w:val="nil"/>
              <w:left w:val="nil"/>
              <w:bottom w:val="nil"/>
              <w:right w:val="nil"/>
            </w:tcBorders>
          </w:tcPr>
          <w:p w14:paraId="49518C39" w14:textId="77777777" w:rsidR="006E3E9C" w:rsidRDefault="00722646">
            <w:pPr>
              <w:snapToGrid w:val="0"/>
              <w:rPr>
                <w:sz w:val="20"/>
              </w:rPr>
            </w:pPr>
            <w:r>
              <w:rPr>
                <w:sz w:val="20"/>
              </w:rPr>
              <w:t>3.</w:t>
            </w:r>
          </w:p>
        </w:tc>
        <w:tc>
          <w:tcPr>
            <w:tcW w:w="4139" w:type="dxa"/>
            <w:tcBorders>
              <w:top w:val="nil"/>
              <w:left w:val="nil"/>
              <w:bottom w:val="nil"/>
              <w:right w:val="nil"/>
            </w:tcBorders>
          </w:tcPr>
          <w:p w14:paraId="49518C3A" w14:textId="77777777" w:rsidR="006E3E9C" w:rsidRDefault="00722646">
            <w:pPr>
              <w:snapToGrid w:val="0"/>
              <w:rPr>
                <w:sz w:val="20"/>
              </w:rPr>
            </w:pPr>
            <w:r>
              <w:rPr>
                <w:sz w:val="20"/>
              </w:rPr>
              <w:t>N-tridecil-1-(tolilazotolilazo)-2-aminonaftalenas</w:t>
            </w:r>
          </w:p>
        </w:tc>
        <w:tc>
          <w:tcPr>
            <w:tcW w:w="1129" w:type="dxa"/>
            <w:tcBorders>
              <w:top w:val="nil"/>
              <w:left w:val="nil"/>
              <w:bottom w:val="nil"/>
              <w:right w:val="nil"/>
            </w:tcBorders>
          </w:tcPr>
          <w:p w14:paraId="49518C3B" w14:textId="77777777" w:rsidR="006E3E9C" w:rsidRDefault="00722646">
            <w:pPr>
              <w:snapToGrid w:val="0"/>
              <w:rPr>
                <w:sz w:val="20"/>
              </w:rPr>
            </w:pPr>
            <w:r>
              <w:rPr>
                <w:sz w:val="20"/>
              </w:rPr>
              <w:t>Dažiklis*</w:t>
            </w:r>
          </w:p>
        </w:tc>
        <w:tc>
          <w:tcPr>
            <w:tcW w:w="1134" w:type="dxa"/>
            <w:tcBorders>
              <w:top w:val="nil"/>
              <w:left w:val="nil"/>
              <w:bottom w:val="nil"/>
              <w:right w:val="nil"/>
            </w:tcBorders>
          </w:tcPr>
          <w:p w14:paraId="49518C3C" w14:textId="77777777" w:rsidR="006E3E9C" w:rsidRDefault="00722646">
            <w:pPr>
              <w:snapToGrid w:val="0"/>
              <w:rPr>
                <w:sz w:val="20"/>
              </w:rPr>
            </w:pPr>
            <w:r>
              <w:rPr>
                <w:sz w:val="20"/>
              </w:rPr>
              <w:t>Raudona</w:t>
            </w:r>
          </w:p>
        </w:tc>
        <w:tc>
          <w:tcPr>
            <w:tcW w:w="1944" w:type="dxa"/>
            <w:tcBorders>
              <w:top w:val="nil"/>
              <w:left w:val="nil"/>
              <w:bottom w:val="nil"/>
              <w:right w:val="nil"/>
            </w:tcBorders>
          </w:tcPr>
          <w:p w14:paraId="49518C3D" w14:textId="77777777" w:rsidR="006E3E9C" w:rsidRDefault="00722646">
            <w:pPr>
              <w:snapToGrid w:val="0"/>
              <w:rPr>
                <w:sz w:val="20"/>
              </w:rPr>
            </w:pPr>
            <w:r>
              <w:rPr>
                <w:sz w:val="20"/>
              </w:rPr>
              <w:t>7,4</w:t>
            </w:r>
          </w:p>
        </w:tc>
      </w:tr>
      <w:tr w:rsidR="006E3E9C" w14:paraId="49518C44" w14:textId="77777777">
        <w:tc>
          <w:tcPr>
            <w:tcW w:w="510" w:type="dxa"/>
            <w:tcBorders>
              <w:top w:val="nil"/>
              <w:left w:val="nil"/>
              <w:bottom w:val="nil"/>
              <w:right w:val="nil"/>
            </w:tcBorders>
          </w:tcPr>
          <w:p w14:paraId="49518C3F" w14:textId="77777777" w:rsidR="006E3E9C" w:rsidRDefault="00722646">
            <w:pPr>
              <w:snapToGrid w:val="0"/>
              <w:rPr>
                <w:sz w:val="20"/>
              </w:rPr>
            </w:pPr>
            <w:r>
              <w:rPr>
                <w:sz w:val="20"/>
              </w:rPr>
              <w:t>4.</w:t>
            </w:r>
          </w:p>
        </w:tc>
        <w:tc>
          <w:tcPr>
            <w:tcW w:w="4139" w:type="dxa"/>
            <w:tcBorders>
              <w:top w:val="nil"/>
              <w:left w:val="nil"/>
              <w:bottom w:val="nil"/>
              <w:right w:val="nil"/>
            </w:tcBorders>
          </w:tcPr>
          <w:p w14:paraId="49518C40" w14:textId="77777777" w:rsidR="006E3E9C" w:rsidRDefault="00722646">
            <w:pPr>
              <w:snapToGrid w:val="0"/>
              <w:rPr>
                <w:sz w:val="20"/>
              </w:rPr>
            </w:pPr>
            <w:r>
              <w:rPr>
                <w:sz w:val="20"/>
              </w:rPr>
              <w:t>N-ethil-N-[2-(1-isobutoxyethoxy) ethil]-4-phenylazo) aniline, „Sudan 455“, (Solvent Yellow 124)</w:t>
            </w:r>
          </w:p>
        </w:tc>
        <w:tc>
          <w:tcPr>
            <w:tcW w:w="1129" w:type="dxa"/>
            <w:tcBorders>
              <w:top w:val="nil"/>
              <w:left w:val="nil"/>
              <w:bottom w:val="nil"/>
              <w:right w:val="nil"/>
            </w:tcBorders>
          </w:tcPr>
          <w:p w14:paraId="49518C41" w14:textId="77777777" w:rsidR="006E3E9C" w:rsidRDefault="00722646">
            <w:pPr>
              <w:snapToGrid w:val="0"/>
              <w:rPr>
                <w:sz w:val="20"/>
              </w:rPr>
            </w:pPr>
            <w:r>
              <w:rPr>
                <w:sz w:val="20"/>
              </w:rPr>
              <w:t>Žymiklis</w:t>
            </w:r>
          </w:p>
        </w:tc>
        <w:tc>
          <w:tcPr>
            <w:tcW w:w="1134" w:type="dxa"/>
            <w:tcBorders>
              <w:top w:val="nil"/>
              <w:left w:val="nil"/>
              <w:bottom w:val="nil"/>
              <w:right w:val="nil"/>
            </w:tcBorders>
          </w:tcPr>
          <w:p w14:paraId="49518C42" w14:textId="77777777" w:rsidR="006E3E9C" w:rsidRDefault="00722646">
            <w:pPr>
              <w:snapToGrid w:val="0"/>
              <w:rPr>
                <w:sz w:val="20"/>
              </w:rPr>
            </w:pPr>
            <w:r>
              <w:rPr>
                <w:sz w:val="20"/>
              </w:rPr>
              <w:t>Geltona</w:t>
            </w:r>
          </w:p>
        </w:tc>
        <w:tc>
          <w:tcPr>
            <w:tcW w:w="1944" w:type="dxa"/>
            <w:tcBorders>
              <w:top w:val="nil"/>
              <w:left w:val="nil"/>
              <w:bottom w:val="nil"/>
              <w:right w:val="nil"/>
            </w:tcBorders>
          </w:tcPr>
          <w:p w14:paraId="49518C43" w14:textId="77777777" w:rsidR="006E3E9C" w:rsidRDefault="00722646">
            <w:pPr>
              <w:snapToGrid w:val="0"/>
              <w:rPr>
                <w:sz w:val="20"/>
              </w:rPr>
            </w:pPr>
            <w:r>
              <w:rPr>
                <w:sz w:val="20"/>
              </w:rPr>
              <w:t>6,82</w:t>
            </w:r>
          </w:p>
        </w:tc>
      </w:tr>
      <w:tr w:rsidR="006E3E9C" w14:paraId="49518C4A" w14:textId="77777777">
        <w:tc>
          <w:tcPr>
            <w:tcW w:w="510" w:type="dxa"/>
            <w:tcBorders>
              <w:top w:val="nil"/>
              <w:left w:val="nil"/>
              <w:bottom w:val="single" w:sz="4" w:space="0" w:color="auto"/>
              <w:right w:val="nil"/>
            </w:tcBorders>
          </w:tcPr>
          <w:p w14:paraId="49518C45" w14:textId="77777777" w:rsidR="006E3E9C" w:rsidRDefault="006E3E9C">
            <w:pPr>
              <w:snapToGrid w:val="0"/>
              <w:rPr>
                <w:sz w:val="20"/>
              </w:rPr>
            </w:pPr>
          </w:p>
        </w:tc>
        <w:tc>
          <w:tcPr>
            <w:tcW w:w="4139" w:type="dxa"/>
            <w:tcBorders>
              <w:top w:val="nil"/>
              <w:left w:val="nil"/>
              <w:bottom w:val="single" w:sz="4" w:space="0" w:color="auto"/>
              <w:right w:val="nil"/>
            </w:tcBorders>
          </w:tcPr>
          <w:p w14:paraId="49518C46" w14:textId="77777777" w:rsidR="006E3E9C" w:rsidRDefault="006E3E9C">
            <w:pPr>
              <w:snapToGrid w:val="0"/>
              <w:rPr>
                <w:sz w:val="20"/>
              </w:rPr>
            </w:pPr>
          </w:p>
        </w:tc>
        <w:tc>
          <w:tcPr>
            <w:tcW w:w="1129" w:type="dxa"/>
            <w:tcBorders>
              <w:top w:val="nil"/>
              <w:left w:val="nil"/>
              <w:bottom w:val="single" w:sz="4" w:space="0" w:color="auto"/>
              <w:right w:val="nil"/>
            </w:tcBorders>
          </w:tcPr>
          <w:p w14:paraId="49518C47" w14:textId="77777777" w:rsidR="006E3E9C" w:rsidRDefault="006E3E9C">
            <w:pPr>
              <w:snapToGrid w:val="0"/>
              <w:rPr>
                <w:sz w:val="20"/>
              </w:rPr>
            </w:pPr>
          </w:p>
        </w:tc>
        <w:tc>
          <w:tcPr>
            <w:tcW w:w="1134" w:type="dxa"/>
            <w:tcBorders>
              <w:top w:val="nil"/>
              <w:left w:val="nil"/>
              <w:bottom w:val="single" w:sz="4" w:space="0" w:color="auto"/>
              <w:right w:val="nil"/>
            </w:tcBorders>
          </w:tcPr>
          <w:p w14:paraId="49518C48" w14:textId="77777777" w:rsidR="006E3E9C" w:rsidRDefault="006E3E9C">
            <w:pPr>
              <w:snapToGrid w:val="0"/>
              <w:rPr>
                <w:sz w:val="20"/>
              </w:rPr>
            </w:pPr>
          </w:p>
        </w:tc>
        <w:tc>
          <w:tcPr>
            <w:tcW w:w="1944" w:type="dxa"/>
            <w:tcBorders>
              <w:top w:val="nil"/>
              <w:left w:val="nil"/>
              <w:bottom w:val="single" w:sz="4" w:space="0" w:color="auto"/>
              <w:right w:val="nil"/>
            </w:tcBorders>
          </w:tcPr>
          <w:p w14:paraId="49518C49" w14:textId="77777777" w:rsidR="006E3E9C" w:rsidRDefault="006E3E9C">
            <w:pPr>
              <w:snapToGrid w:val="0"/>
              <w:rPr>
                <w:sz w:val="20"/>
              </w:rPr>
            </w:pPr>
          </w:p>
        </w:tc>
      </w:tr>
    </w:tbl>
    <w:p w14:paraId="49518C4B" w14:textId="77777777" w:rsidR="006E3E9C" w:rsidRDefault="00722646">
      <w:pPr>
        <w:ind w:firstLine="709"/>
        <w:jc w:val="both"/>
        <w:rPr>
          <w:sz w:val="20"/>
        </w:rPr>
      </w:pPr>
      <w:r>
        <w:rPr>
          <w:sz w:val="20"/>
        </w:rPr>
        <w:t>* Dažymui naudojamas vienas iš pasirinktų dažiklių.</w:t>
      </w:r>
    </w:p>
    <w:p w14:paraId="49518C4C" w14:textId="77777777" w:rsidR="006E3E9C" w:rsidRDefault="00722646">
      <w:pPr>
        <w:ind w:firstLine="709"/>
        <w:jc w:val="both"/>
      </w:pPr>
    </w:p>
    <w:p w14:paraId="49518C4D" w14:textId="1008600E" w:rsidR="006E3E9C" w:rsidRDefault="00722646">
      <w:pPr>
        <w:ind w:firstLine="709"/>
        <w:jc w:val="both"/>
      </w:pPr>
      <w:r>
        <w:t>2</w:t>
      </w:r>
      <w:r>
        <w:t>. Reikalavimai žymėtam šildymui skirtam kurui:</w:t>
      </w:r>
    </w:p>
    <w:p w14:paraId="49518C4E" w14:textId="77777777" w:rsidR="006E3E9C" w:rsidRDefault="00722646">
      <w:pPr>
        <w:ind w:firstLine="709"/>
        <w:jc w:val="both"/>
      </w:pPr>
      <w:r>
        <w:t>2.1</w:t>
      </w:r>
      <w:r>
        <w:t xml:space="preserve">. šildymui skirtas kuras apima produktus, klasifikuojamus pagal Kombinuotąją prekių nomenklatūrą (2002 m. versija) </w:t>
      </w:r>
      <w:r>
        <w:t>kodai 2710.19.41, 2710.19.45, 2710.19.49 pozicijose bei 2710.19.61.9, 2710.19.63.9, 2710.19.65.9 subpozicijose;</w:t>
      </w:r>
    </w:p>
    <w:p w14:paraId="49518C4F" w14:textId="77777777" w:rsidR="006E3E9C" w:rsidRDefault="00722646">
      <w:pPr>
        <w:ind w:firstLine="709"/>
        <w:jc w:val="both"/>
      </w:pPr>
      <w:r>
        <w:t>2.2</w:t>
      </w:r>
      <w:r>
        <w:t>. kuro tankis, esant 15° C, lygus 880 kg/m</w:t>
      </w:r>
      <w:r>
        <w:rPr>
          <w:vertAlign w:val="superscript"/>
        </w:rPr>
        <w:t>3</w:t>
      </w:r>
      <w:r>
        <w:t xml:space="preserve"> ir mažiau;</w:t>
      </w:r>
    </w:p>
    <w:p w14:paraId="49518C50" w14:textId="77CF3FE4" w:rsidR="006E3E9C" w:rsidRDefault="00722646">
      <w:pPr>
        <w:ind w:firstLine="709"/>
        <w:jc w:val="both"/>
      </w:pPr>
      <w:r>
        <w:t>2.3</w:t>
      </w:r>
      <w:r>
        <w:t>. kiti kuro parametrai privalo atitikti Lietuvoje vartojamų naftos produktų</w:t>
      </w:r>
      <w:r>
        <w:t xml:space="preserve"> privalomuosius kokybės rodiklius, patvirtintus Lietuvos Respublikos ūkio ministro, Lietuvos Respublikos aplinkos ministro ir Lietuvos Respublikos susisiekimo ministro 2001 m. balandžio 20 d. įsakymu Nr. 135/221/137 „Dėl Lietuvoje vartojamų naftos produktų</w:t>
      </w:r>
      <w:r>
        <w:t xml:space="preserve"> privalomųjų kokybės rodiklių patvirtinimo“ (Žin., 2001, Nr. </w:t>
      </w:r>
      <w:hyperlink r:id="rId11" w:tgtFrame="_blank" w:history="1">
        <w:r>
          <w:rPr>
            <w:color w:val="0000FF" w:themeColor="hyperlink"/>
            <w:u w:val="single"/>
          </w:rPr>
          <w:t>35-1206</w:t>
        </w:r>
      </w:hyperlink>
      <w:r>
        <w:t>).</w:t>
      </w:r>
    </w:p>
    <w:p w14:paraId="49518C53" w14:textId="7EC1F40F" w:rsidR="006E3E9C" w:rsidRDefault="00722646" w:rsidP="00722646">
      <w:pPr>
        <w:jc w:val="center"/>
      </w:pPr>
      <w:r>
        <w:t>______________</w:t>
      </w:r>
    </w:p>
    <w:p w14:paraId="49518C54" w14:textId="77777777" w:rsidR="006E3E9C" w:rsidRDefault="00722646" w:rsidP="00722646">
      <w:pPr>
        <w:ind w:left="5102"/>
      </w:pPr>
      <w:r>
        <w:br w:type="page"/>
      </w:r>
      <w:r>
        <w:lastRenderedPageBreak/>
        <w:t>PATVIRTINTA</w:t>
      </w:r>
    </w:p>
    <w:p w14:paraId="49518C55" w14:textId="77777777" w:rsidR="006E3E9C" w:rsidRDefault="00722646">
      <w:pPr>
        <w:ind w:firstLine="5102"/>
      </w:pPr>
      <w:r>
        <w:t>Lietuvos Respublikos ūkio ministro</w:t>
      </w:r>
    </w:p>
    <w:p w14:paraId="49518C56" w14:textId="77777777" w:rsidR="006E3E9C" w:rsidRDefault="00722646">
      <w:pPr>
        <w:ind w:firstLine="5102"/>
      </w:pPr>
      <w:r>
        <w:t>2002 m. birželio 3 d. įsakymu Nr. 1</w:t>
      </w:r>
      <w:r>
        <w:t>93</w:t>
      </w:r>
    </w:p>
    <w:p w14:paraId="49518C57" w14:textId="77777777" w:rsidR="006E3E9C" w:rsidRDefault="006E3E9C">
      <w:pPr>
        <w:ind w:firstLine="709"/>
      </w:pPr>
    </w:p>
    <w:p w14:paraId="49518C58" w14:textId="77777777" w:rsidR="006E3E9C" w:rsidRDefault="00722646">
      <w:pPr>
        <w:jc w:val="center"/>
        <w:rPr>
          <w:b/>
        </w:rPr>
      </w:pPr>
      <w:r>
        <w:rPr>
          <w:b/>
        </w:rPr>
        <w:t>KURO, KURIAM TAIKOMOS AKCIZŲ LENGVATOS, KONTROLĖS TVARKA</w:t>
      </w:r>
    </w:p>
    <w:p w14:paraId="49518C59" w14:textId="77777777" w:rsidR="006E3E9C" w:rsidRDefault="006E3E9C">
      <w:pPr>
        <w:jc w:val="center"/>
        <w:rPr>
          <w:b/>
        </w:rPr>
      </w:pPr>
    </w:p>
    <w:p w14:paraId="49518C5A" w14:textId="77777777" w:rsidR="006E3E9C" w:rsidRDefault="00722646">
      <w:pPr>
        <w:jc w:val="center"/>
        <w:rPr>
          <w:b/>
        </w:rPr>
      </w:pPr>
      <w:r>
        <w:rPr>
          <w:b/>
        </w:rPr>
        <w:t>I</w:t>
      </w:r>
      <w:r>
        <w:rPr>
          <w:b/>
        </w:rPr>
        <w:t xml:space="preserve">. </w:t>
      </w:r>
      <w:r>
        <w:rPr>
          <w:b/>
        </w:rPr>
        <w:t>BENDROSIOS NUOSTATOS</w:t>
      </w:r>
    </w:p>
    <w:p w14:paraId="49518C5B" w14:textId="77777777" w:rsidR="006E3E9C" w:rsidRDefault="006E3E9C">
      <w:pPr>
        <w:jc w:val="center"/>
        <w:rPr>
          <w:b/>
        </w:rPr>
      </w:pPr>
    </w:p>
    <w:p w14:paraId="49518C5C" w14:textId="77777777" w:rsidR="006E3E9C" w:rsidRDefault="00722646">
      <w:pPr>
        <w:ind w:firstLine="709"/>
        <w:jc w:val="both"/>
      </w:pPr>
      <w:r>
        <w:t>1</w:t>
      </w:r>
      <w:r>
        <w:t xml:space="preserve">. Kuro, kuriam taikomos akcizų lengvatos, kontrolės tvarka (toliau – Tvarka) skirta nustatyti, ar šis kuras vartojamas pagal paskirtį, ir reglamentuoja </w:t>
      </w:r>
      <w:r>
        <w:t>institucijų, kontroliuojančių kuro, kuriam taikomos akcizų lengvatos, vartojimą, veiksmus.</w:t>
      </w:r>
    </w:p>
    <w:p w14:paraId="49518C5D" w14:textId="77777777" w:rsidR="006E3E9C" w:rsidRDefault="00722646">
      <w:pPr>
        <w:ind w:firstLine="709"/>
        <w:jc w:val="both"/>
      </w:pPr>
    </w:p>
    <w:p w14:paraId="49518C5E" w14:textId="77777777" w:rsidR="006E3E9C" w:rsidRDefault="00722646">
      <w:pPr>
        <w:jc w:val="center"/>
        <w:rPr>
          <w:b/>
        </w:rPr>
      </w:pPr>
      <w:r>
        <w:rPr>
          <w:b/>
        </w:rPr>
        <w:t>II</w:t>
      </w:r>
      <w:r>
        <w:rPr>
          <w:b/>
        </w:rPr>
        <w:t xml:space="preserve">. </w:t>
      </w:r>
      <w:r>
        <w:rPr>
          <w:b/>
        </w:rPr>
        <w:t>PAGRINDINĖS SĄVOKOS</w:t>
      </w:r>
    </w:p>
    <w:p w14:paraId="49518C5F" w14:textId="77777777" w:rsidR="006E3E9C" w:rsidRDefault="006E3E9C">
      <w:pPr>
        <w:jc w:val="center"/>
        <w:rPr>
          <w:b/>
        </w:rPr>
      </w:pPr>
    </w:p>
    <w:p w14:paraId="49518C60" w14:textId="77777777" w:rsidR="006E3E9C" w:rsidRDefault="00722646">
      <w:pPr>
        <w:ind w:firstLine="709"/>
        <w:jc w:val="both"/>
      </w:pPr>
      <w:r>
        <w:t>2</w:t>
      </w:r>
      <w:r>
        <w:t>. Pagrindinės Tvarkoje vartojamos sąvokos atitinka Kuro, kuriam taikomos akcizų lengvatos, žymėjimo tvarkoje, patvirtintoje ūkio</w:t>
      </w:r>
      <w:r>
        <w:t xml:space="preserve"> ministro 2002 m. birželio 3 d. įsakymu Nr. 193 bei kituose teisės aktuose, reglamentuojančiuose naftos produktų gabenimą, laikymą, apskaitą ir prekybą, vartojamas sąvokas.</w:t>
      </w:r>
    </w:p>
    <w:p w14:paraId="49518C61" w14:textId="77777777" w:rsidR="006E3E9C" w:rsidRDefault="00722646">
      <w:pPr>
        <w:ind w:firstLine="709"/>
        <w:jc w:val="both"/>
      </w:pPr>
    </w:p>
    <w:p w14:paraId="49518C62" w14:textId="77777777" w:rsidR="006E3E9C" w:rsidRDefault="00722646">
      <w:pPr>
        <w:jc w:val="center"/>
        <w:rPr>
          <w:b/>
        </w:rPr>
      </w:pPr>
      <w:r>
        <w:rPr>
          <w:b/>
        </w:rPr>
        <w:t>III</w:t>
      </w:r>
      <w:r>
        <w:rPr>
          <w:b/>
        </w:rPr>
        <w:t xml:space="preserve">. </w:t>
      </w:r>
      <w:r>
        <w:rPr>
          <w:b/>
        </w:rPr>
        <w:t>BENDRIEJI REIKALAVIMAI</w:t>
      </w:r>
    </w:p>
    <w:p w14:paraId="49518C63" w14:textId="77777777" w:rsidR="006E3E9C" w:rsidRDefault="006E3E9C">
      <w:pPr>
        <w:jc w:val="center"/>
        <w:rPr>
          <w:b/>
        </w:rPr>
      </w:pPr>
    </w:p>
    <w:p w14:paraId="49518C64" w14:textId="77777777" w:rsidR="006E3E9C" w:rsidRDefault="00722646">
      <w:pPr>
        <w:ind w:firstLine="709"/>
        <w:jc w:val="both"/>
      </w:pPr>
      <w:r>
        <w:t>3</w:t>
      </w:r>
      <w:r>
        <w:t>. Žymėto kuro gabenimas, laikymas, jo apsk</w:t>
      </w:r>
      <w:r>
        <w:t xml:space="preserve">aita ir prekyba vykdoma teisės aktų nustatyta tvarka (finansų ministro 2001 m. rugsėjo 25 d. įsakymas Nr. 270 „Dėl Naftos produktų, biokuro, bioalyvos ir kitų degiųjų skystų produktų gabenimo ir laikymo kuro talpyklose tvarkos ir Naftos produktų, biokuro, </w:t>
      </w:r>
      <w:r>
        <w:t xml:space="preserve">bioalyvos ir kitų degiųjų skystų produktų apskaitos taisyklių patvirtinimo“ (Žin., 2001, Nr. </w:t>
      </w:r>
      <w:hyperlink r:id="rId12" w:tgtFrame="_blank" w:history="1">
        <w:r>
          <w:rPr>
            <w:color w:val="0000FF" w:themeColor="hyperlink"/>
            <w:u w:val="single"/>
          </w:rPr>
          <w:t>85-2990</w:t>
        </w:r>
      </w:hyperlink>
      <w:r>
        <w:t xml:space="preserve">, Nr. </w:t>
      </w:r>
      <w:hyperlink r:id="rId13" w:tgtFrame="_blank" w:history="1">
        <w:r>
          <w:rPr>
            <w:color w:val="0000FF" w:themeColor="hyperlink"/>
            <w:u w:val="single"/>
          </w:rPr>
          <w:t>111-4046</w:t>
        </w:r>
      </w:hyperlink>
      <w:r>
        <w:t xml:space="preserve">; 2002, Nr. </w:t>
      </w:r>
      <w:hyperlink r:id="rId14" w:tgtFrame="_blank" w:history="1">
        <w:r>
          <w:rPr>
            <w:color w:val="0000FF" w:themeColor="hyperlink"/>
            <w:u w:val="single"/>
          </w:rPr>
          <w:t>29-1051</w:t>
        </w:r>
      </w:hyperlink>
      <w:r>
        <w:t>); ūkio ministro 2001 m. balandžio 26 d. įsakymas Nr. 147 „Dėl Prekybos naftos produktais, biokuru, bioalyva ir kitais degiaisiais skystais pr</w:t>
      </w:r>
      <w:r>
        <w:t xml:space="preserve">oduktais Lietuvos Respublikoje taisyklių patvirtinimo“ (Žin., 2001, Nr. </w:t>
      </w:r>
      <w:hyperlink r:id="rId15" w:tgtFrame="_blank" w:history="1">
        <w:r>
          <w:rPr>
            <w:color w:val="0000FF" w:themeColor="hyperlink"/>
            <w:u w:val="single"/>
          </w:rPr>
          <w:t>37-1269</w:t>
        </w:r>
      </w:hyperlink>
      <w:r>
        <w:t xml:space="preserve">, Nr. </w:t>
      </w:r>
      <w:hyperlink r:id="rId16" w:tgtFrame="_blank" w:history="1">
        <w:r>
          <w:rPr>
            <w:color w:val="0000FF" w:themeColor="hyperlink"/>
            <w:u w:val="single"/>
          </w:rPr>
          <w:t>88-3103</w:t>
        </w:r>
      </w:hyperlink>
      <w:r>
        <w:t>), jei</w:t>
      </w:r>
      <w:r>
        <w:t xml:space="preserve"> tai nereglamentuojama kitais teisės aktais.</w:t>
      </w:r>
    </w:p>
    <w:p w14:paraId="49518C65" w14:textId="77777777" w:rsidR="006E3E9C" w:rsidRDefault="00722646">
      <w:pPr>
        <w:ind w:firstLine="709"/>
        <w:jc w:val="both"/>
      </w:pPr>
      <w:r>
        <w:t>4</w:t>
      </w:r>
      <w:r>
        <w:t>. Akcizais apmokestinamų prekių sandėliuose žymėtas kuras turi būti laikomas atskirose talpyklose.</w:t>
      </w:r>
    </w:p>
    <w:p w14:paraId="49518C66" w14:textId="77777777" w:rsidR="006E3E9C" w:rsidRDefault="00722646">
      <w:pPr>
        <w:ind w:firstLine="709"/>
        <w:jc w:val="both"/>
      </w:pPr>
      <w:r>
        <w:t>5</w:t>
      </w:r>
      <w:r>
        <w:t>. Žymėtas kuras privalo būti naudojamas tik pagal paskirtį.</w:t>
      </w:r>
    </w:p>
    <w:p w14:paraId="49518C67" w14:textId="77777777" w:rsidR="006E3E9C" w:rsidRDefault="00722646">
      <w:pPr>
        <w:ind w:firstLine="709"/>
        <w:jc w:val="both"/>
      </w:pPr>
    </w:p>
    <w:p w14:paraId="49518C68" w14:textId="77777777" w:rsidR="006E3E9C" w:rsidRDefault="00722646">
      <w:pPr>
        <w:jc w:val="center"/>
        <w:rPr>
          <w:b/>
        </w:rPr>
      </w:pPr>
      <w:r>
        <w:rPr>
          <w:b/>
        </w:rPr>
        <w:t>IV</w:t>
      </w:r>
      <w:r>
        <w:rPr>
          <w:b/>
        </w:rPr>
        <w:t xml:space="preserve">. </w:t>
      </w:r>
      <w:r>
        <w:rPr>
          <w:b/>
        </w:rPr>
        <w:t>KURO KONTROLĖ</w:t>
      </w:r>
    </w:p>
    <w:p w14:paraId="49518C69" w14:textId="77777777" w:rsidR="006E3E9C" w:rsidRDefault="006E3E9C">
      <w:pPr>
        <w:jc w:val="center"/>
        <w:rPr>
          <w:b/>
        </w:rPr>
      </w:pPr>
    </w:p>
    <w:p w14:paraId="49518C6A" w14:textId="77777777" w:rsidR="006E3E9C" w:rsidRDefault="00722646">
      <w:pPr>
        <w:ind w:firstLine="709"/>
        <w:jc w:val="both"/>
      </w:pPr>
      <w:r>
        <w:t>6</w:t>
      </w:r>
      <w:r>
        <w:t>. Žymėto ku</w:t>
      </w:r>
      <w:r>
        <w:t>ro gamybą, importą, transportavimą ir realizavimą kontroliuoja:</w:t>
      </w:r>
    </w:p>
    <w:p w14:paraId="49518C6B" w14:textId="77777777" w:rsidR="006E3E9C" w:rsidRDefault="00722646">
      <w:pPr>
        <w:ind w:firstLine="709"/>
        <w:jc w:val="both"/>
      </w:pPr>
      <w:r>
        <w:t>6.1</w:t>
      </w:r>
      <w:r>
        <w:t>. Valstybinė mokesčių inspekcija prie Lietuvos Respublikos finansų ministerijos ir teritorinės Valstybinės mokesčių inspekcijos (toliau – Valstybinė mokesčių inspekcija);</w:t>
      </w:r>
    </w:p>
    <w:p w14:paraId="49518C6C" w14:textId="77777777" w:rsidR="006E3E9C" w:rsidRDefault="00722646">
      <w:pPr>
        <w:ind w:firstLine="709"/>
        <w:jc w:val="both"/>
      </w:pPr>
      <w:r>
        <w:t>6.2</w:t>
      </w:r>
      <w:r>
        <w:t xml:space="preserve">. </w:t>
      </w:r>
      <w:r>
        <w:t>Muitinės departamentas prie Lietuvos Respublikos finansų ministerijos ir teritorinės muitinės (toliau – Muitinės departamentas);</w:t>
      </w:r>
    </w:p>
    <w:p w14:paraId="49518C6D" w14:textId="77777777" w:rsidR="006E3E9C" w:rsidRDefault="00722646">
      <w:pPr>
        <w:ind w:firstLine="709"/>
        <w:jc w:val="both"/>
      </w:pPr>
      <w:r>
        <w:t>6.3</w:t>
      </w:r>
      <w:r>
        <w:t>. Policijos departamentas prie Vidaus reikalų ministerijos ir atitinkami teritoriniai padaliniai (toliau – Policijos dep</w:t>
      </w:r>
      <w:r>
        <w:t>artamentas);</w:t>
      </w:r>
    </w:p>
    <w:p w14:paraId="49518C6E" w14:textId="77777777" w:rsidR="006E3E9C" w:rsidRDefault="00722646">
      <w:pPr>
        <w:ind w:firstLine="709"/>
        <w:jc w:val="both"/>
      </w:pPr>
      <w:r>
        <w:t>6.4</w:t>
      </w:r>
      <w:r>
        <w:t>. Valstybinė ne maisto produktų inspekcija prie Lietuvos Respublikos ūkio ministerijos (toliau – Ne maisto produktų inspekcija);</w:t>
      </w:r>
    </w:p>
    <w:p w14:paraId="49518C6F" w14:textId="77777777" w:rsidR="006E3E9C" w:rsidRDefault="00722646">
      <w:pPr>
        <w:ind w:firstLine="709"/>
        <w:jc w:val="both"/>
      </w:pPr>
      <w:r>
        <w:t>6.5</w:t>
      </w:r>
      <w:r>
        <w:t>. Finansinių nusikaltimų tyrimo tarnyba prie Vidaus reikalų ministerijos (toliau – Finansinių nusika</w:t>
      </w:r>
      <w:r>
        <w:t>ltimų tyrimo tarnyba).</w:t>
      </w:r>
    </w:p>
    <w:p w14:paraId="49518C70" w14:textId="77777777" w:rsidR="006E3E9C" w:rsidRDefault="00722646">
      <w:pPr>
        <w:ind w:firstLine="709"/>
        <w:jc w:val="both"/>
      </w:pPr>
      <w:r>
        <w:t>7</w:t>
      </w:r>
      <w:r>
        <w:t>. Valstybinės mokesčių inspekcijos pareigūnai gali patikrinti žymėto kuro akcizais apmokestintų prekių sandėlių kuro talpyklas, kuriose laikomas žymėtas kuras, vartotojams priklausančias katilines, krosnis, kitus įrenginius ar</w:t>
      </w:r>
      <w:r>
        <w:t xml:space="preserve"> įtaisus, kuriuose vartojamas žymėtas kuras, bei vartotojams priklausančius rezervuarus, kuriuose laikomas žymėtas kuras.</w:t>
      </w:r>
    </w:p>
    <w:p w14:paraId="49518C71" w14:textId="77777777" w:rsidR="006E3E9C" w:rsidRDefault="00722646">
      <w:pPr>
        <w:ind w:firstLine="709"/>
        <w:jc w:val="both"/>
      </w:pPr>
      <w:r>
        <w:t>8</w:t>
      </w:r>
      <w:r>
        <w:t>. Muitinės departamento pareigūnai, vadovaudamiesi Muitinės departamento prie Finansų ministerijos nustatyta tvarka, tikrina, kai</w:t>
      </w:r>
      <w:r>
        <w:t xml:space="preserve">p laikomasi kuro žymėjimo reikalavimų importuojant kurą. </w:t>
      </w:r>
      <w:r>
        <w:lastRenderedPageBreak/>
        <w:t>Importuojamo kuro mėginiai imami dalyvaujant kuro importuotojui (deklarantui) arba jo įgaliotajam atstovui.</w:t>
      </w:r>
    </w:p>
    <w:p w14:paraId="49518C72" w14:textId="77777777" w:rsidR="006E3E9C" w:rsidRDefault="00722646">
      <w:pPr>
        <w:ind w:firstLine="709"/>
        <w:jc w:val="both"/>
      </w:pPr>
      <w:r>
        <w:t>9</w:t>
      </w:r>
      <w:r>
        <w:t xml:space="preserve">. Ne maisto produktų inspekcija, esant reikalui, pasitelkia Policijos departamento ir </w:t>
      </w:r>
      <w:r>
        <w:t>Finansinių nusikaltimų tarnybos pareigūnus patikrinti kurą degalinėse ir kitose prekybos vietose bei sausumos motorinėse transporto priemonėse.</w:t>
      </w:r>
    </w:p>
    <w:p w14:paraId="49518C73" w14:textId="77777777" w:rsidR="006E3E9C" w:rsidRDefault="00722646">
      <w:pPr>
        <w:ind w:firstLine="709"/>
        <w:jc w:val="both"/>
      </w:pPr>
      <w:r>
        <w:t>10</w:t>
      </w:r>
      <w:r>
        <w:t>. Finansinių nusikaltimų tyrimų tarnyba ir Policijos departamentas žymėto kuro prekybą ir vartojimą kontro</w:t>
      </w:r>
      <w:r>
        <w:t>liuoja pagal savo kompetenciją.</w:t>
      </w:r>
    </w:p>
    <w:p w14:paraId="49518C74" w14:textId="77777777" w:rsidR="006E3E9C" w:rsidRDefault="00722646">
      <w:pPr>
        <w:ind w:firstLine="709"/>
        <w:jc w:val="both"/>
      </w:pPr>
      <w:r>
        <w:t>11</w:t>
      </w:r>
      <w:r>
        <w:t xml:space="preserve">. Žymėto kuro gamintojai, vartotojai, prekiautojai, motorinių transporto priemonių vairuotojai privalo leisti inspektoriams ir pareigūnams patikrinti įrenginius, kuro talpyklas, dokumentus, taip pat leisti paimti kuro </w:t>
      </w:r>
      <w:r>
        <w:t>mėginius iš transporto priemonės degalų bako.</w:t>
      </w:r>
    </w:p>
    <w:p w14:paraId="49518C75" w14:textId="77777777" w:rsidR="006E3E9C" w:rsidRDefault="00722646">
      <w:pPr>
        <w:ind w:firstLine="709"/>
        <w:jc w:val="both"/>
      </w:pPr>
      <w:r>
        <w:t>12</w:t>
      </w:r>
      <w:r>
        <w:t>. Pareigūnas, nustatęs žymėto kuro vartojimą ne pagal paskirtį, surašo kuro mėginio paėmimo ir pirminio kuro patikrinimo rezultatų protokolą (1 priedas), kuriame turi būti:</w:t>
      </w:r>
    </w:p>
    <w:p w14:paraId="49518C76" w14:textId="77777777" w:rsidR="006E3E9C" w:rsidRDefault="00722646">
      <w:pPr>
        <w:ind w:firstLine="709"/>
        <w:jc w:val="both"/>
      </w:pPr>
      <w:r>
        <w:t>12.1</w:t>
      </w:r>
      <w:r>
        <w:t>. protokolo numeris;</w:t>
      </w:r>
    </w:p>
    <w:p w14:paraId="49518C77" w14:textId="77777777" w:rsidR="006E3E9C" w:rsidRDefault="00722646">
      <w:pPr>
        <w:ind w:firstLine="709"/>
        <w:jc w:val="both"/>
      </w:pPr>
      <w:r>
        <w:t>12.2</w:t>
      </w:r>
      <w:r>
        <w:t>. kontroliuojančios institucijos, kuri ima mėginius, pavadinimas;</w:t>
      </w:r>
    </w:p>
    <w:p w14:paraId="49518C78" w14:textId="77777777" w:rsidR="006E3E9C" w:rsidRDefault="00722646">
      <w:pPr>
        <w:ind w:firstLine="709"/>
        <w:jc w:val="both"/>
      </w:pPr>
      <w:r>
        <w:t>12.3</w:t>
      </w:r>
      <w:r>
        <w:t>. mėginio paėmimo data, laikas ir vieta;</w:t>
      </w:r>
    </w:p>
    <w:p w14:paraId="49518C79" w14:textId="77777777" w:rsidR="006E3E9C" w:rsidRDefault="00722646">
      <w:pPr>
        <w:ind w:firstLine="709"/>
        <w:jc w:val="both"/>
      </w:pPr>
      <w:r>
        <w:t>12.4</w:t>
      </w:r>
      <w:r>
        <w:t>. duomenys apie transporto priemonės savininką (vairuotoją), transporto priemonės registracijos numerį;</w:t>
      </w:r>
    </w:p>
    <w:p w14:paraId="49518C7A" w14:textId="77777777" w:rsidR="006E3E9C" w:rsidRDefault="00722646">
      <w:pPr>
        <w:ind w:firstLine="709"/>
        <w:jc w:val="both"/>
      </w:pPr>
      <w:r>
        <w:t>12.5</w:t>
      </w:r>
      <w:r>
        <w:t>. duomenys apie</w:t>
      </w:r>
      <w:r>
        <w:t xml:space="preserve"> stacionariųjų ir kitų talpyklų bei automobilių cisternų buvimo vietą bei jų savininką;</w:t>
      </w:r>
    </w:p>
    <w:p w14:paraId="49518C7B" w14:textId="77777777" w:rsidR="006E3E9C" w:rsidRDefault="00722646">
      <w:pPr>
        <w:ind w:firstLine="709"/>
        <w:jc w:val="both"/>
      </w:pPr>
      <w:r>
        <w:t>12.6</w:t>
      </w:r>
      <w:r>
        <w:t>. pirminio patikrinimo rezultatai;</w:t>
      </w:r>
    </w:p>
    <w:p w14:paraId="49518C7C" w14:textId="77777777" w:rsidR="006E3E9C" w:rsidRDefault="00722646">
      <w:pPr>
        <w:ind w:firstLine="709"/>
        <w:jc w:val="both"/>
      </w:pPr>
      <w:r>
        <w:t>12.7</w:t>
      </w:r>
      <w:r>
        <w:t>. asmenų, dalyvavusių paimant mėginį, vardai, pavardės, parašai;</w:t>
      </w:r>
    </w:p>
    <w:p w14:paraId="49518C7D" w14:textId="77777777" w:rsidR="006E3E9C" w:rsidRDefault="00722646">
      <w:pPr>
        <w:ind w:firstLine="709"/>
        <w:jc w:val="both"/>
      </w:pPr>
      <w:r>
        <w:t>12.8</w:t>
      </w:r>
      <w:r>
        <w:t>. asmens, atlikusio kontrolę, vardas, pavard</w:t>
      </w:r>
      <w:r>
        <w:t>ė, pareigos ir parašas.</w:t>
      </w:r>
    </w:p>
    <w:p w14:paraId="49518C7E" w14:textId="77777777" w:rsidR="006E3E9C" w:rsidRDefault="00722646">
      <w:pPr>
        <w:ind w:firstLine="709"/>
        <w:jc w:val="both"/>
      </w:pPr>
      <w:r>
        <w:t>13</w:t>
      </w:r>
      <w:r>
        <w:t>. Protokolas surašomas dviem egzemplioriais. Vieną protokolo egzempliorių pasilieka kontroliuojantys pareigūnai, kitą gauna asmuo, kurio kuras buvo tikrinamas.</w:t>
      </w:r>
    </w:p>
    <w:p w14:paraId="49518C7F" w14:textId="77777777" w:rsidR="006E3E9C" w:rsidRDefault="00722646">
      <w:pPr>
        <w:ind w:firstLine="709"/>
        <w:jc w:val="both"/>
      </w:pPr>
      <w:r>
        <w:t>14</w:t>
      </w:r>
      <w:r>
        <w:t>. Pirminio kuro patikrinimo kelyje rezultatai neturi jurid</w:t>
      </w:r>
      <w:r>
        <w:t>inės galios.</w:t>
      </w:r>
    </w:p>
    <w:p w14:paraId="49518C80" w14:textId="77777777" w:rsidR="006E3E9C" w:rsidRDefault="00722646">
      <w:pPr>
        <w:ind w:firstLine="709"/>
        <w:jc w:val="both"/>
      </w:pPr>
      <w:r>
        <w:t>15</w:t>
      </w:r>
      <w:r>
        <w:t>. Tikrinantieji kurą užtikrina, kad mėginys būtų pristatytas į Ne maisto produktų inspekciją arba Šiaulių naftos produktų bandymo laboratoriją ne vėliau kaip per 48 val.</w:t>
      </w:r>
    </w:p>
    <w:p w14:paraId="49518C81" w14:textId="77777777" w:rsidR="006E3E9C" w:rsidRDefault="00722646">
      <w:pPr>
        <w:ind w:firstLine="709"/>
        <w:jc w:val="both"/>
      </w:pPr>
      <w:r>
        <w:t>16</w:t>
      </w:r>
      <w:r>
        <w:t xml:space="preserve">. Laboratoriniam bandymui turi būti pristatyti 2 plombuoti </w:t>
      </w:r>
      <w:r>
        <w:t>buteliai po 0,5 litro įtartino kuro ir mėginio paėmimo bei pirminės kontrolės rezultatų protokolas.</w:t>
      </w:r>
    </w:p>
    <w:p w14:paraId="49518C82" w14:textId="77777777" w:rsidR="006E3E9C" w:rsidRDefault="00722646">
      <w:pPr>
        <w:ind w:firstLine="709"/>
        <w:jc w:val="both"/>
      </w:pPr>
      <w:r>
        <w:t>17</w:t>
      </w:r>
      <w:r>
        <w:t>. Naftos produktų bandymo laboratorija užregistruoja mėginio priėmimą. Tuo atveju, jeigu nustatoma reikšmingų mėginio įpakavimo pažeidimų ar kitų neat</w:t>
      </w:r>
      <w:r>
        <w:t>itikimų, laboratorija konstatuoja tai, priimdama mėginį. Šiuos pastebėjimus savo parašais patvirtina perduodantys ir jį perimantys asmenys.</w:t>
      </w:r>
    </w:p>
    <w:p w14:paraId="49518C83" w14:textId="77777777" w:rsidR="006E3E9C" w:rsidRDefault="00722646">
      <w:pPr>
        <w:ind w:firstLine="709"/>
        <w:jc w:val="both"/>
      </w:pPr>
      <w:r>
        <w:t>18</w:t>
      </w:r>
      <w:r>
        <w:t>. Naftos produktų bandymo laboratorija, priėmusi mėginius laboratoriniam tyrimui, per 24 valandas atlieka tyri</w:t>
      </w:r>
      <w:r>
        <w:t>mą ir surašo bandymų protokolą, pateikdama išvadą, ar mėginys atitinka, ar neatitinka kurui, kuriam taikomos akcizų lengvatos, keliamus reikalavimus. Bandymų protokolą pasirašo bandymą atlikęs laboratorijos darbuotojas ir laboratorijos vedėjas, laboratorij</w:t>
      </w:r>
      <w:r>
        <w:t>os vedėjas protokolą dar patvirtina spaudu.</w:t>
      </w:r>
    </w:p>
    <w:p w14:paraId="49518C84" w14:textId="77777777" w:rsidR="006E3E9C" w:rsidRDefault="00722646">
      <w:pPr>
        <w:ind w:firstLine="709"/>
        <w:jc w:val="both"/>
      </w:pPr>
      <w:r>
        <w:t>19</w:t>
      </w:r>
      <w:r>
        <w:t>. Ne maisto produktų inspekcija oficialią išvadą pateikia per 5 darbo dienas.</w:t>
      </w:r>
    </w:p>
    <w:p w14:paraId="49518C85" w14:textId="77777777" w:rsidR="006E3E9C" w:rsidRDefault="00722646">
      <w:pPr>
        <w:ind w:firstLine="709"/>
        <w:jc w:val="both"/>
      </w:pPr>
      <w:r>
        <w:t>20</w:t>
      </w:r>
      <w:r>
        <w:t>. Tuo atveju, kai perduodamo mėginio įpakavimo pažeidimai ar kiti neatitikimai gali kelti abejonių dėl analizės duomenų pa</w:t>
      </w:r>
      <w:r>
        <w:t>tikimumo, Ne maisto produktų inspekcija per 2 darbo dienas informuoja mėginį pateikusią organizaciją ir mėginio analizės neatlieka.</w:t>
      </w:r>
    </w:p>
    <w:p w14:paraId="49518C86" w14:textId="77777777" w:rsidR="006E3E9C" w:rsidRDefault="00722646">
      <w:pPr>
        <w:ind w:firstLine="709"/>
        <w:jc w:val="both"/>
      </w:pPr>
      <w:r>
        <w:t>21</w:t>
      </w:r>
      <w:r>
        <w:t>. Gavę naftos produktų bandymo laboratorijos išvadą apie vartojamą kurą, pareigūnai gali surašyti administracinės teis</w:t>
      </w:r>
      <w:r>
        <w:t>ės pažeidimo protokolą.</w:t>
      </w:r>
    </w:p>
    <w:p w14:paraId="49518C87" w14:textId="77777777" w:rsidR="006E3E9C" w:rsidRDefault="00722646">
      <w:pPr>
        <w:ind w:firstLine="709"/>
        <w:jc w:val="both"/>
      </w:pPr>
    </w:p>
    <w:p w14:paraId="49518C88" w14:textId="77777777" w:rsidR="006E3E9C" w:rsidRDefault="00722646">
      <w:pPr>
        <w:jc w:val="center"/>
        <w:rPr>
          <w:b/>
        </w:rPr>
      </w:pPr>
      <w:r>
        <w:rPr>
          <w:b/>
        </w:rPr>
        <w:t>V</w:t>
      </w:r>
      <w:r>
        <w:rPr>
          <w:b/>
        </w:rPr>
        <w:t xml:space="preserve">. </w:t>
      </w:r>
      <w:r>
        <w:rPr>
          <w:b/>
        </w:rPr>
        <w:t>REIKALAVIMAI VARTOTOJAMS</w:t>
      </w:r>
    </w:p>
    <w:p w14:paraId="49518C89" w14:textId="77777777" w:rsidR="006E3E9C" w:rsidRDefault="006E3E9C">
      <w:pPr>
        <w:jc w:val="center"/>
        <w:rPr>
          <w:b/>
        </w:rPr>
      </w:pPr>
    </w:p>
    <w:p w14:paraId="49518C8A" w14:textId="77777777" w:rsidR="006E3E9C" w:rsidRDefault="00722646">
      <w:pPr>
        <w:ind w:firstLine="709"/>
        <w:jc w:val="both"/>
      </w:pPr>
      <w:r>
        <w:t>22</w:t>
      </w:r>
      <w:r>
        <w:t>. Žymėtas kuras parduodamas Valstybinės mokesčių inspekcijos nustatyta tvarka.</w:t>
      </w:r>
    </w:p>
    <w:p w14:paraId="49518C8B" w14:textId="77777777" w:rsidR="006E3E9C" w:rsidRDefault="00722646">
      <w:pPr>
        <w:ind w:firstLine="709"/>
        <w:jc w:val="both"/>
      </w:pPr>
    </w:p>
    <w:p w14:paraId="49518C8C" w14:textId="77777777" w:rsidR="006E3E9C" w:rsidRDefault="00722646">
      <w:pPr>
        <w:jc w:val="center"/>
        <w:rPr>
          <w:b/>
        </w:rPr>
      </w:pPr>
      <w:r>
        <w:rPr>
          <w:b/>
        </w:rPr>
        <w:t>VI</w:t>
      </w:r>
      <w:r>
        <w:rPr>
          <w:b/>
        </w:rPr>
        <w:t xml:space="preserve">. </w:t>
      </w:r>
      <w:r>
        <w:rPr>
          <w:b/>
        </w:rPr>
        <w:t>ŽYMĖJIMO MEDŽIAGŲ, ESANČIŲ KURE, NUSTATYMAS</w:t>
      </w:r>
    </w:p>
    <w:p w14:paraId="49518C8D" w14:textId="77777777" w:rsidR="006E3E9C" w:rsidRDefault="006E3E9C">
      <w:pPr>
        <w:jc w:val="center"/>
        <w:rPr>
          <w:b/>
        </w:rPr>
      </w:pPr>
    </w:p>
    <w:p w14:paraId="49518C8E" w14:textId="77777777" w:rsidR="006E3E9C" w:rsidRDefault="00722646">
      <w:pPr>
        <w:ind w:firstLine="709"/>
        <w:jc w:val="both"/>
      </w:pPr>
      <w:r>
        <w:t>23</w:t>
      </w:r>
      <w:r>
        <w:t>. Pirminis kuro patikrinimas atliekamas šiais met</w:t>
      </w:r>
      <w:r>
        <w:t>odais:</w:t>
      </w:r>
    </w:p>
    <w:p w14:paraId="49518C8F" w14:textId="77777777" w:rsidR="006E3E9C" w:rsidRDefault="00722646">
      <w:pPr>
        <w:ind w:firstLine="709"/>
        <w:jc w:val="both"/>
      </w:pPr>
      <w:r>
        <w:t>23.1</w:t>
      </w:r>
      <w:r>
        <w:t>. vizualiai patikrinama kuro spalva ir jos intensyvumas;</w:t>
      </w:r>
    </w:p>
    <w:p w14:paraId="49518C90" w14:textId="77777777" w:rsidR="006E3E9C" w:rsidRDefault="00722646">
      <w:pPr>
        <w:ind w:firstLine="709"/>
        <w:jc w:val="both"/>
      </w:pPr>
      <w:r>
        <w:t>23.2</w:t>
      </w:r>
      <w:r>
        <w:t>. kuro spalva ir jos intensyvumas palyginamas su žymėjimui naudojamo dažiklio spalvos ir nuo koncentracijos priklausančio intensyvumo etalonais bespalvėje skaidrioje plėvelėje ar</w:t>
      </w:r>
      <w:r>
        <w:t>ba popieriaus lape pavaizduotais gryno ir praskiesto žymėto kuro spalvos intensyvumo pavyzdžiais (2 priedas);</w:t>
      </w:r>
    </w:p>
    <w:p w14:paraId="49518C91" w14:textId="77777777" w:rsidR="006E3E9C" w:rsidRDefault="00722646">
      <w:pPr>
        <w:ind w:firstLine="709"/>
        <w:jc w:val="both"/>
      </w:pPr>
      <w:r>
        <w:t>23.3</w:t>
      </w:r>
      <w:r>
        <w:t xml:space="preserve">. cheminiu reagentu T-1 patikrinama, ar kure yra žymiklio. Kuro mėginys (20 ml) specialiame mėgintuvėlyje su užsukamu kamščiu suplakamas </w:t>
      </w:r>
      <w:r>
        <w:t>su 5 ml reagento T-1 (10–12 % tūrio koncentracijos druskos rūgštimi). Kurui ir reagentui išsisluoksniavus, apatinio sluoksnio (reagento) rožinė spalva leidžia teigti apie žymiklio buvimą tiriamajame kure.</w:t>
      </w:r>
    </w:p>
    <w:p w14:paraId="49518C92" w14:textId="77777777" w:rsidR="006E3E9C" w:rsidRDefault="00722646">
      <w:pPr>
        <w:ind w:firstLine="709"/>
        <w:jc w:val="both"/>
      </w:pPr>
      <w:r>
        <w:t>24</w:t>
      </w:r>
      <w:r>
        <w:t>. Dažiklio, esančio kure, nustatymas:</w:t>
      </w:r>
    </w:p>
    <w:p w14:paraId="49518C93" w14:textId="77777777" w:rsidR="006E3E9C" w:rsidRDefault="00722646">
      <w:pPr>
        <w:ind w:firstLine="709"/>
        <w:jc w:val="both"/>
      </w:pPr>
      <w:r>
        <w:t>24.1</w:t>
      </w:r>
      <w:r>
        <w:t>. rekomenduojama į 18 mm skersmens ir 180</w:t>
      </w:r>
      <w:r>
        <w:sym w:font="Symbol" w:char="00B8"/>
      </w:r>
      <w:r>
        <w:t>200 mm aukščio mėgintuvėlį su užsukamu kamščiu įpilti 20 ml tiriamo kuro. Didesnio ar mažesnio intensyvumo raudona ar rožinė kuro mėginio spalva leidžia spėti, kad kure yra žymėtam kurui būdingo dažiklio;</w:t>
      </w:r>
    </w:p>
    <w:p w14:paraId="49518C94" w14:textId="77777777" w:rsidR="006E3E9C" w:rsidRDefault="00722646">
      <w:pPr>
        <w:ind w:firstLine="709"/>
        <w:jc w:val="both"/>
      </w:pPr>
      <w:r>
        <w:t>24.2</w:t>
      </w:r>
      <w:r>
        <w:t>. palyginus mėginio spalvą ir jos intensyvumą mėgintuvėlyje su standartine dažikliui būdingos spalvos ir jos intensyvumo skale skaidrioje plėvelėje arba popieriaus lape, apytiksliai nustatoma galima žymėto kuro koncentracija mišinyje su nežymėtu kuru;</w:t>
      </w:r>
    </w:p>
    <w:p w14:paraId="49518C95" w14:textId="77777777" w:rsidR="006E3E9C" w:rsidRDefault="00722646">
      <w:pPr>
        <w:ind w:firstLine="709"/>
        <w:jc w:val="both"/>
      </w:pPr>
      <w:r>
        <w:t>24</w:t>
      </w:r>
      <w:r>
        <w:t>.3</w:t>
      </w:r>
      <w:r>
        <w:t xml:space="preserve">. standartinės dažiklio spalvos intensyvumo skalė – tai skaidrioje plėvelėje arba popieriaus lape pavaizduoti gryno ir praskiesto žymėto kuro spalvos intensyvumo (pvz., esant kure 100, 80, 60, 40, 20, 10 tūrio % standarte nustatytos dažiklio arba </w:t>
      </w:r>
      <w:r>
        <w:t>žymėto kuro normos) pavyzdžiai;</w:t>
      </w:r>
    </w:p>
    <w:p w14:paraId="49518C96" w14:textId="77777777" w:rsidR="006E3E9C" w:rsidRDefault="00722646">
      <w:pPr>
        <w:ind w:firstLine="709"/>
        <w:jc w:val="both"/>
      </w:pPr>
      <w:r>
        <w:t>24.4</w:t>
      </w:r>
      <w:r>
        <w:t>. tiksliau dažiklio arba dažyto kuro koncentracija nustatoma naudojant AUTO COLOR arba kitokį spektrofotometrą, fotokolorimetrą arba spalvos komparatorių. Jais mėginio spalva įvertinama pagal ASTM D 159, ASTM D 1500,</w:t>
      </w:r>
      <w:r>
        <w:t xml:space="preserve"> ASTM D 5389 ir ASTM D 6045 standartus;</w:t>
      </w:r>
    </w:p>
    <w:p w14:paraId="49518C97" w14:textId="77777777" w:rsidR="006E3E9C" w:rsidRDefault="00722646">
      <w:pPr>
        <w:ind w:firstLine="709"/>
        <w:jc w:val="both"/>
      </w:pPr>
      <w:r>
        <w:t>24.5</w:t>
      </w:r>
      <w:r>
        <w:t>. jeigu žymėtas kuras praskiestas daugiau kaip 10 kartų (dažiklio koncentracija kure mažesnė kaip 0,54 mg/l), vizualiai pastebėti dažiklio suteiktą kuro spalvos pokytį praktiškai neįmanoma.</w:t>
      </w:r>
    </w:p>
    <w:p w14:paraId="49518C98" w14:textId="77777777" w:rsidR="006E3E9C" w:rsidRDefault="00722646">
      <w:pPr>
        <w:ind w:firstLine="709"/>
        <w:jc w:val="both"/>
      </w:pPr>
      <w:r>
        <w:t>25</w:t>
      </w:r>
      <w:r>
        <w:t>. Žymiklio</w:t>
      </w:r>
      <w:r>
        <w:t>, esančio kure, patikrinimas:</w:t>
      </w:r>
    </w:p>
    <w:p w14:paraId="49518C99" w14:textId="77777777" w:rsidR="006E3E9C" w:rsidRDefault="00722646">
      <w:pPr>
        <w:ind w:firstLine="709"/>
        <w:jc w:val="both"/>
      </w:pPr>
      <w:r>
        <w:t>25.1</w:t>
      </w:r>
      <w:r>
        <w:t>. į tą patį mėgintuvėlį su kuro mėginiu, naudotu spalvai palyginti ir dažiklio buvimui nustatyti, įpilama apie 5 ml reagento T-1. Mėgintuvėlis sandariai užsukamas kamščiu. Kuro ir reagento mišinys mėgintuvėlyje 2 minutes</w:t>
      </w:r>
      <w:r>
        <w:t xml:space="preserve"> intensyviai plakamas. Po to mėgintuvėlis su turiniu minutei paliekamas vertikalioje padėtyje išsisluoksniuoti. Jeigu kuro mėginyje yra žymiklio, nusėdęs apatinis reagento T-1 sluoksnis nusidažo raudona arba rožine spalva. Spalvos intensyvumas proporcingas</w:t>
      </w:r>
      <w:r>
        <w:t xml:space="preserve"> išplauto žymiklio koncentracijai reagente. Apytikslė žymiklio koncentracija nustatoma palyginus žymiklio tirpalo reagente T-1 (ekstrakto) spalvos intensyvumą su skaidrioje plėvelėje arba popieriaus lape pavaizduotais gryno ir praskiesto kuro žymiklio ekst</w:t>
      </w:r>
      <w:r>
        <w:t>raktų spalvos intensyvumo (pvz., esant kure 100, 80, 60, 40, 20, 10 tūrio % pagal reglamentą nustatytos žymiklio normos) pavyzdžiais;</w:t>
      </w:r>
    </w:p>
    <w:p w14:paraId="49518C9A" w14:textId="77777777" w:rsidR="006E3E9C" w:rsidRDefault="00722646">
      <w:pPr>
        <w:ind w:firstLine="709"/>
        <w:jc w:val="both"/>
      </w:pPr>
      <w:r>
        <w:t>25.2</w:t>
      </w:r>
      <w:r>
        <w:t>. tiksliau žymiklio koncentracija nustatoma naudojant AUTO COLOR arba kitokį spektrofotometrą;</w:t>
      </w:r>
    </w:p>
    <w:p w14:paraId="49518C9B" w14:textId="77777777" w:rsidR="006E3E9C" w:rsidRDefault="00722646">
      <w:pPr>
        <w:ind w:firstLine="709"/>
        <w:jc w:val="both"/>
      </w:pPr>
      <w:r>
        <w:t>25.3</w:t>
      </w:r>
      <w:r>
        <w:t>. viršutini</w:t>
      </w:r>
      <w:r>
        <w:t>ame sluoksnyje esančio kuro mėginio spalva, iš dalies ar visiškai išplovus žymiklį reagentu T-1, neturi pakisti – likti raudona arba rožinė.</w:t>
      </w:r>
    </w:p>
    <w:p w14:paraId="49518C9C" w14:textId="77777777" w:rsidR="006E3E9C" w:rsidRDefault="00722646">
      <w:pPr>
        <w:ind w:firstLine="709"/>
        <w:jc w:val="both"/>
      </w:pPr>
    </w:p>
    <w:p w14:paraId="49518C9D" w14:textId="77777777" w:rsidR="006E3E9C" w:rsidRDefault="00722646">
      <w:pPr>
        <w:jc w:val="center"/>
        <w:rPr>
          <w:b/>
        </w:rPr>
      </w:pPr>
      <w:r>
        <w:rPr>
          <w:b/>
        </w:rPr>
        <w:t>VII</w:t>
      </w:r>
      <w:r>
        <w:rPr>
          <w:b/>
        </w:rPr>
        <w:t xml:space="preserve">. </w:t>
      </w:r>
      <w:r>
        <w:rPr>
          <w:b/>
        </w:rPr>
        <w:t>MĖGINIO PAĖMIMAS, PARUOŠIMAS PRISTATYTI Į NE MAISTO PRODUKTŲ INSPEKCIJOS LABORATORIJĄ</w:t>
      </w:r>
    </w:p>
    <w:p w14:paraId="49518C9E" w14:textId="77777777" w:rsidR="006E3E9C" w:rsidRDefault="006E3E9C">
      <w:pPr>
        <w:jc w:val="center"/>
        <w:rPr>
          <w:b/>
        </w:rPr>
      </w:pPr>
    </w:p>
    <w:p w14:paraId="49518C9F" w14:textId="77777777" w:rsidR="006E3E9C" w:rsidRDefault="00722646">
      <w:pPr>
        <w:ind w:firstLine="709"/>
        <w:jc w:val="both"/>
      </w:pPr>
      <w:r>
        <w:t>26</w:t>
      </w:r>
      <w:r>
        <w:t>. Mėgini</w:t>
      </w:r>
      <w:r>
        <w:t>o paėmimo būdas priklauso nuo talpyklos (degalų bako), kuriame yra kuras, konstrukcijos ir konkrečių paėmimo sąlygų:</w:t>
      </w:r>
    </w:p>
    <w:p w14:paraId="49518CA0" w14:textId="77777777" w:rsidR="006E3E9C" w:rsidRDefault="00722646">
      <w:pPr>
        <w:ind w:firstLine="709"/>
        <w:jc w:val="both"/>
      </w:pPr>
      <w:r>
        <w:t>26.1</w:t>
      </w:r>
      <w:r>
        <w:t>. jei kuras yra talpyklose, kuro mėginiai paimami specialiu paėmimo prietaisu pagal LST EN ISO 3170:2000 arba LST EN ISO 3171:2000 re</w:t>
      </w:r>
      <w:r>
        <w:t>ikalavimus;</w:t>
      </w:r>
    </w:p>
    <w:p w14:paraId="49518CA1" w14:textId="77777777" w:rsidR="006E3E9C" w:rsidRDefault="00722646">
      <w:pPr>
        <w:ind w:firstLine="709"/>
        <w:jc w:val="both"/>
      </w:pPr>
      <w:r>
        <w:t>26.2</w:t>
      </w:r>
      <w:r>
        <w:t xml:space="preserve">. jei kuras yra autotransporto priemonės degalų bake, kuro mėginys paimamas iš patogios paimti vietos, atsižvelgiant į konkrečias galimybes, pavyzdžiui, iš degalų bako per degalų pripylimo vamzdį, iš dyzelinių degalų filtro per nuosėdų </w:t>
      </w:r>
      <w:r>
        <w:t xml:space="preserve">išleidimo vožtuvą, atjungus degalų tiekimo į variklį žarnelę ar vamzdelį. Jei mėginiui paimti reikia atsukti ar atjungti autotransporto priemonės </w:t>
      </w:r>
      <w:r>
        <w:lastRenderedPageBreak/>
        <w:t>detales, po mėginio paėmimo jos vėl sutvarkomos (užsukamos, sujungiamos), kaip buvo prieš paėmimą.</w:t>
      </w:r>
    </w:p>
    <w:p w14:paraId="49518CA2" w14:textId="77777777" w:rsidR="006E3E9C" w:rsidRDefault="00722646">
      <w:pPr>
        <w:ind w:firstLine="709"/>
        <w:jc w:val="both"/>
      </w:pPr>
      <w:r>
        <w:t>27</w:t>
      </w:r>
      <w:r>
        <w:t>. K</w:t>
      </w:r>
      <w:r>
        <w:t>uras paimamas į plastikinį arba stiklinį 1 litro talpos indą. Imant kuro mėginį iš automobilio degalų bako, naudojamasi plastikiniu suspaudžiamų sienelių indu, prie kurio prijungta (rekomenduojama) 1 m ilgio lanksti 6 mm vidinio skersmens naftos produktams</w:t>
      </w:r>
      <w:r>
        <w:t xml:space="preserve"> atsparaus silikono arba plastiko žarnelė, arba specialiu siurbliu.</w:t>
      </w:r>
    </w:p>
    <w:p w14:paraId="49518CA3" w14:textId="77777777" w:rsidR="006E3E9C" w:rsidRDefault="00722646">
      <w:pPr>
        <w:ind w:firstLine="709"/>
        <w:jc w:val="both"/>
      </w:pPr>
      <w:r>
        <w:t>28</w:t>
      </w:r>
      <w:r>
        <w:t>. Pristatomų laboratoriniam bandymui butelių kakleliai apsukami virvele arba siūlu, kurių galai yra plombuojami.</w:t>
      </w:r>
    </w:p>
    <w:p w14:paraId="49518CA4" w14:textId="77777777" w:rsidR="006E3E9C" w:rsidRDefault="00722646">
      <w:pPr>
        <w:ind w:firstLine="709"/>
        <w:jc w:val="both"/>
      </w:pPr>
      <w:r>
        <w:t>29</w:t>
      </w:r>
      <w:r>
        <w:t>. Ant mėginio butelio etiketės turi būti užrašyta: mėginio paėm</w:t>
      </w:r>
      <w:r>
        <w:t>imo data, vieta, saugykla arba kuro talpykla, iš kurios paimtas mėginys, arba transporto priemonės registracinis numeris.</w:t>
      </w:r>
    </w:p>
    <w:p w14:paraId="49518CA5" w14:textId="77777777" w:rsidR="006E3E9C" w:rsidRDefault="00722646">
      <w:pPr>
        <w:ind w:firstLine="709"/>
        <w:jc w:val="both"/>
      </w:pPr>
      <w:r>
        <w:t>30</w:t>
      </w:r>
      <w:r>
        <w:t>. Kuro mėginys neturi būti laikomas saulės šviesoje.</w:t>
      </w:r>
    </w:p>
    <w:p w14:paraId="49518CA6" w14:textId="77777777" w:rsidR="006E3E9C" w:rsidRDefault="00722646">
      <w:pPr>
        <w:ind w:firstLine="709"/>
        <w:jc w:val="both"/>
      </w:pPr>
    </w:p>
    <w:p w14:paraId="49518CA7" w14:textId="77777777" w:rsidR="006E3E9C" w:rsidRDefault="00722646">
      <w:pPr>
        <w:jc w:val="center"/>
        <w:rPr>
          <w:b/>
        </w:rPr>
      </w:pPr>
      <w:r>
        <w:rPr>
          <w:b/>
        </w:rPr>
        <w:t>VIII</w:t>
      </w:r>
      <w:r>
        <w:rPr>
          <w:b/>
        </w:rPr>
        <w:t xml:space="preserve">. </w:t>
      </w:r>
      <w:r>
        <w:rPr>
          <w:b/>
        </w:rPr>
        <w:t>LABORATORINIS MEDŽIAGŲ, ESANČIŲ KURE, ŽYMĖJIMO PATIKRINIMAS</w:t>
      </w:r>
    </w:p>
    <w:p w14:paraId="49518CA8" w14:textId="77777777" w:rsidR="006E3E9C" w:rsidRDefault="006E3E9C">
      <w:pPr>
        <w:jc w:val="center"/>
        <w:rPr>
          <w:b/>
        </w:rPr>
      </w:pPr>
    </w:p>
    <w:p w14:paraId="49518CA9" w14:textId="77777777" w:rsidR="006E3E9C" w:rsidRDefault="00722646">
      <w:pPr>
        <w:ind w:firstLine="709"/>
        <w:jc w:val="both"/>
      </w:pPr>
      <w:r>
        <w:t>31</w:t>
      </w:r>
      <w:r>
        <w:t>. Spektrofotometrais ir kita reikalinga aparatūra aprūpintose laboratorijose, kuriose gali būti tiksliai, pagal LST EN ISO 4259:2000 keliamus reikalavimus, nustatomi kure esantys dažiklio ir žymiklio kiekiai, suformuluojamos ir parašomos galutinės išv</w:t>
      </w:r>
      <w:r>
        <w:t>ados apie žymėtą kurą.</w:t>
      </w:r>
    </w:p>
    <w:p w14:paraId="49518CAA" w14:textId="77777777" w:rsidR="006E3E9C" w:rsidRDefault="00722646">
      <w:pPr>
        <w:ind w:firstLine="709"/>
        <w:jc w:val="both"/>
      </w:pPr>
      <w:r>
        <w:t>32</w:t>
      </w:r>
      <w:r>
        <w:t>. Po pirminio žymėjimo medžiagų nustatymo toliau dažiklio tapatybė patikrinama ir koncentracija kure nustatoma spektrofotometru. Spalva nustatoma pagal didžiausią šviesos absorbciją dažikliui ar žymikliui būdingame šviesos bang</w:t>
      </w:r>
      <w:r>
        <w:t>os ilgyje, o dažiklio koncentracija nustatoma pagal šviesos absorbcijos arba ekstinkcijos dydį dažiklio spalvai būdingame šviesos bangos ruože.</w:t>
      </w:r>
    </w:p>
    <w:p w14:paraId="49518CAB" w14:textId="77777777" w:rsidR="006E3E9C" w:rsidRDefault="00722646">
      <w:pPr>
        <w:ind w:firstLine="709"/>
        <w:jc w:val="both"/>
      </w:pPr>
    </w:p>
    <w:p w14:paraId="49518CAC" w14:textId="77777777" w:rsidR="006E3E9C" w:rsidRDefault="00722646">
      <w:pPr>
        <w:jc w:val="center"/>
        <w:rPr>
          <w:b/>
        </w:rPr>
      </w:pPr>
      <w:r>
        <w:rPr>
          <w:b/>
        </w:rPr>
        <w:t>IX</w:t>
      </w:r>
      <w:r>
        <w:rPr>
          <w:b/>
        </w:rPr>
        <w:t xml:space="preserve">. </w:t>
      </w:r>
      <w:r>
        <w:rPr>
          <w:b/>
        </w:rPr>
        <w:t>ŽYMĖTAM KURUI PATIKRINTI REIKALINGOS PRIEMONĖS</w:t>
      </w:r>
    </w:p>
    <w:p w14:paraId="49518CAD" w14:textId="77777777" w:rsidR="006E3E9C" w:rsidRDefault="006E3E9C">
      <w:pPr>
        <w:jc w:val="center"/>
        <w:rPr>
          <w:b/>
        </w:rPr>
      </w:pPr>
    </w:p>
    <w:p w14:paraId="49518CAE" w14:textId="77777777" w:rsidR="006E3E9C" w:rsidRDefault="00722646">
      <w:pPr>
        <w:ind w:firstLine="709"/>
        <w:jc w:val="both"/>
      </w:pPr>
      <w:r>
        <w:t>33</w:t>
      </w:r>
      <w:r>
        <w:t xml:space="preserve">. Žymėtam kurui patikrinti reikalingos šios </w:t>
      </w:r>
      <w:r>
        <w:t>techninės priemonės:</w:t>
      </w:r>
    </w:p>
    <w:p w14:paraId="49518CAF" w14:textId="77777777" w:rsidR="006E3E9C" w:rsidRDefault="00722646">
      <w:pPr>
        <w:ind w:firstLine="709"/>
        <w:jc w:val="both"/>
      </w:pPr>
      <w:r>
        <w:t>33.1</w:t>
      </w:r>
      <w:r>
        <w:t>. metalinis, plastikinis arba guminis mėginio paėmimo prietaisas. Jei mėginys imamas iš talpyklos, didesnės talpos rezervuaro ar cisternos kuro, esančio saugykloje ar muitinėje, vadovaujamasi LST EN ISO 3170:2000 standartu. Jei m</w:t>
      </w:r>
      <w:r>
        <w:t xml:space="preserve">ėginys imamas iš transporto priemonės, naudojamas plastikinis, suspaudžiamų elastingų sienelių indas su silikonine ar plastikine žarnele arba žarna su gumine, įsiurbimo ir išleidimo vožtuvais aprūpinta perpumpavimo pūsle („kriauše“), arba kitoks siurblys. </w:t>
      </w:r>
      <w:r>
        <w:t>Iš kanistro mėginį galima įpilti į 1 litro talpos metalinį arba plastikinį indą arba išsiurbti siurbliu. Mėginiui paimti iš degalų filtro reikalingas raktelis varžtams atsukti ir elastinga silikoninė 20 cm ilgio ir 5</w:t>
      </w:r>
      <w:r>
        <w:sym w:font="Symbol" w:char="00B8"/>
      </w:r>
      <w:r>
        <w:t>7 mm skersmens žarnelė;</w:t>
      </w:r>
    </w:p>
    <w:p w14:paraId="49518CB0" w14:textId="77777777" w:rsidR="006E3E9C" w:rsidRDefault="00722646">
      <w:pPr>
        <w:ind w:firstLine="709"/>
        <w:jc w:val="both"/>
      </w:pPr>
      <w:r>
        <w:t>33.2</w:t>
      </w:r>
      <w:r>
        <w:t>. metal</w:t>
      </w:r>
      <w:r>
        <w:t>inis, plastikinis arba stiklinis, rekomenduojamas ne mažesnės kaip l litro talpos indas pirminiam tyrimui, skirtam mėginiui iš talpyklos (degalų bako, cisternos ar pan.) įpilti;</w:t>
      </w:r>
    </w:p>
    <w:p w14:paraId="49518CB1" w14:textId="77777777" w:rsidR="006E3E9C" w:rsidRDefault="00722646">
      <w:pPr>
        <w:ind w:firstLine="709"/>
        <w:jc w:val="both"/>
      </w:pPr>
      <w:r>
        <w:t>33.3</w:t>
      </w:r>
      <w:r>
        <w:t>. plastikiniais kamščiais užsukami stikliniai arba skaidrūs bespalviai</w:t>
      </w:r>
      <w:r>
        <w:t xml:space="preserve"> plastikiniai mėgintuvėliai, rekomenduojama 180 mm ilgio ir 18 mm skersmens (ne mažiau kaip 10 vienetų);</w:t>
      </w:r>
    </w:p>
    <w:p w14:paraId="49518CB2" w14:textId="77777777" w:rsidR="006E3E9C" w:rsidRDefault="00722646">
      <w:pPr>
        <w:ind w:firstLine="709"/>
        <w:jc w:val="both"/>
      </w:pPr>
      <w:r>
        <w:t>33.4</w:t>
      </w:r>
      <w:r>
        <w:t>. žymėto kuro spalvos ir jos intensyvumo priklausomybės nuo praskiedimo skalė (skaidrioje plėvelėje arba popieriuje pavaizduoti gryno ir praski</w:t>
      </w:r>
      <w:r>
        <w:t>esto žymėto kuro spalvos intensyvumo, esant kure 100, 80, 60, 40, 20, 10 tūrio % standarte nustatytos dažiklio arba žymėto kuro normos, pavyzdžiai);</w:t>
      </w:r>
    </w:p>
    <w:p w14:paraId="49518CB3" w14:textId="77777777" w:rsidR="006E3E9C" w:rsidRDefault="00722646">
      <w:pPr>
        <w:ind w:firstLine="709"/>
        <w:jc w:val="both"/>
      </w:pPr>
      <w:r>
        <w:t>33.5</w:t>
      </w:r>
      <w:r>
        <w:t xml:space="preserve">. žymiklio tirpalo reagente T-1 spalvos intensyvumo priklausomybės nuo koncentracijos palyginamoji </w:t>
      </w:r>
      <w:r>
        <w:t>skalė (skaidrioje plėvelėje arba popieriuje pavaizduoti gryno ir praskiesto žymėto kuro spalvos intensyvumo, esant kure 100, 80, 60, 40, 20, 10 tūrio % standarte nustatytos žymiklio normos reagente T-1, pavyzdžiai);</w:t>
      </w:r>
    </w:p>
    <w:p w14:paraId="49518CB4" w14:textId="77777777" w:rsidR="006E3E9C" w:rsidRDefault="00722646">
      <w:pPr>
        <w:ind w:firstLine="709"/>
        <w:jc w:val="both"/>
      </w:pPr>
      <w:r>
        <w:t>33.6</w:t>
      </w:r>
      <w:r>
        <w:t>. kilnojamasis spektrofotometras</w:t>
      </w:r>
      <w:r>
        <w:t xml:space="preserve"> AUTO COLOR (</w:t>
      </w:r>
      <w:r>
        <w:rPr>
          <w:i/>
        </w:rPr>
        <w:t>Grabner Instruments</w:t>
      </w:r>
      <w:r>
        <w:t>) arba kitas spektrofotometras;</w:t>
      </w:r>
    </w:p>
    <w:p w14:paraId="49518CB5" w14:textId="77777777" w:rsidR="006E3E9C" w:rsidRDefault="00722646">
      <w:pPr>
        <w:ind w:firstLine="709"/>
        <w:jc w:val="both"/>
      </w:pPr>
      <w:r>
        <w:t>33.7</w:t>
      </w:r>
      <w:r>
        <w:t>. guminės pirštinės, muilas, rankšluostis.</w:t>
      </w:r>
    </w:p>
    <w:p w14:paraId="49518CB6" w14:textId="77777777" w:rsidR="006E3E9C" w:rsidRDefault="00722646">
      <w:pPr>
        <w:ind w:firstLine="709"/>
        <w:jc w:val="both"/>
      </w:pPr>
    </w:p>
    <w:p w14:paraId="49518CB7" w14:textId="77777777" w:rsidR="006E3E9C" w:rsidRDefault="00722646">
      <w:pPr>
        <w:jc w:val="center"/>
        <w:rPr>
          <w:b/>
        </w:rPr>
      </w:pPr>
      <w:r>
        <w:rPr>
          <w:b/>
        </w:rPr>
        <w:t>X</w:t>
      </w:r>
      <w:r>
        <w:rPr>
          <w:b/>
        </w:rPr>
        <w:t xml:space="preserve">. </w:t>
      </w:r>
      <w:r>
        <w:rPr>
          <w:b/>
        </w:rPr>
        <w:t>ŽYMĖTO KURO PATIKRAI REIKALINGI REAGENTAI</w:t>
      </w:r>
    </w:p>
    <w:p w14:paraId="49518CB8" w14:textId="77777777" w:rsidR="006E3E9C" w:rsidRDefault="006E3E9C">
      <w:pPr>
        <w:jc w:val="center"/>
        <w:rPr>
          <w:b/>
        </w:rPr>
      </w:pPr>
    </w:p>
    <w:p w14:paraId="49518CB9" w14:textId="77777777" w:rsidR="006E3E9C" w:rsidRDefault="00722646">
      <w:pPr>
        <w:ind w:firstLine="709"/>
        <w:jc w:val="both"/>
      </w:pPr>
      <w:r>
        <w:t>34</w:t>
      </w:r>
      <w:r>
        <w:t>. Reagentas T-1 (10š</w:t>
      </w:r>
      <w:r>
        <w:sym w:font="Symbol" w:char="00B8"/>
      </w:r>
      <w:r>
        <w:t>12% koncentracijos vandenilio chlorido, kitaip vadinamo dru</w:t>
      </w:r>
      <w:r>
        <w:t xml:space="preserve">skos rūgštimi, tirpalas vandenyje). Jis paruošiamas sumaišant 1 dalį druskos rūgšties LST 939:2000 su 2 dalimis vandens. Reagentas išpilstomas į 500 ml talpos plastikinius butelius su sandariai užsukamais kamščiais. Etiketė užrašoma vadovaujantis Lietuvos </w:t>
      </w:r>
      <w:r>
        <w:t>Respublikos aplinkos ministro ir Lietuvos Respublikos sveikatos apsaugos ministro 2000 m. gruodžio 19 d. įsakymu Nr. 532/742 „Dėl Pavojingų cheminių medžiagų ir preparatų klasifikavimo ir ženklinimo tvarkos“ (Žin., 2000, Nr. 16-509).</w:t>
      </w:r>
    </w:p>
    <w:p w14:paraId="49518CBA" w14:textId="77777777" w:rsidR="006E3E9C" w:rsidRDefault="00722646">
      <w:pPr>
        <w:ind w:firstLine="709"/>
        <w:jc w:val="both"/>
      </w:pPr>
    </w:p>
    <w:p w14:paraId="49518CBB" w14:textId="77777777" w:rsidR="006E3E9C" w:rsidRDefault="00722646">
      <w:pPr>
        <w:jc w:val="center"/>
        <w:rPr>
          <w:b/>
        </w:rPr>
      </w:pPr>
      <w:r>
        <w:rPr>
          <w:b/>
        </w:rPr>
        <w:t>XI</w:t>
      </w:r>
      <w:r>
        <w:rPr>
          <w:b/>
        </w:rPr>
        <w:t xml:space="preserve">. </w:t>
      </w:r>
      <w:r>
        <w:rPr>
          <w:b/>
        </w:rPr>
        <w:t>KURO TIKRIN</w:t>
      </w:r>
      <w:r>
        <w:rPr>
          <w:b/>
        </w:rPr>
        <w:t>IMO ATLIEKŲ TVARKYMAS</w:t>
      </w:r>
    </w:p>
    <w:p w14:paraId="49518CBC" w14:textId="77777777" w:rsidR="006E3E9C" w:rsidRDefault="006E3E9C">
      <w:pPr>
        <w:jc w:val="center"/>
        <w:rPr>
          <w:b/>
        </w:rPr>
      </w:pPr>
    </w:p>
    <w:p w14:paraId="49518CBD" w14:textId="77777777" w:rsidR="006E3E9C" w:rsidRDefault="00722646">
      <w:pPr>
        <w:ind w:firstLine="709"/>
        <w:jc w:val="both"/>
      </w:pPr>
      <w:r>
        <w:t>35</w:t>
      </w:r>
      <w:r>
        <w:t>. Surašius kuro spalvos tikrinimo ir sudėties tyrimo bei tyrimo rezultatų protokolą, mėginiai iš mėgintuvėlių supilami į 20 l talpos plastikinį, užsukamu kamščiu uždaromą atliekų indą. Indui prisipildžius, apatinis vandens sluo</w:t>
      </w:r>
      <w:r>
        <w:t>ksnis atskiriamas, neutralizuojamas šarmais (pvz., kalkėmis, natrio karbonatu arba hidrokarbonatu) ir išpilamas į kanalizaciją. Viršutinis tyrimams panaudoto kuro sluoksnis kaupiamas ir atiduodamas į naftos perdirbimo gamyklą perdirbti kartu su įmonės vand</w:t>
      </w:r>
      <w:r>
        <w:t>ens valymo įrenginių gaudyklėse surinkta nafta.</w:t>
      </w:r>
    </w:p>
    <w:p w14:paraId="49518CBE" w14:textId="77777777" w:rsidR="006E3E9C" w:rsidRDefault="00722646">
      <w:pPr>
        <w:ind w:firstLine="709"/>
        <w:jc w:val="both"/>
      </w:pPr>
    </w:p>
    <w:p w14:paraId="49518CBF" w14:textId="72F1D989" w:rsidR="006E3E9C" w:rsidRDefault="00722646">
      <w:pPr>
        <w:jc w:val="center"/>
        <w:rPr>
          <w:b/>
        </w:rPr>
      </w:pPr>
      <w:r>
        <w:rPr>
          <w:b/>
        </w:rPr>
        <w:t>XII</w:t>
      </w:r>
      <w:r>
        <w:rPr>
          <w:b/>
        </w:rPr>
        <w:t xml:space="preserve">. </w:t>
      </w:r>
      <w:r>
        <w:rPr>
          <w:b/>
        </w:rPr>
        <w:t>BAIGIAMOSIOS NUOSTATOS</w:t>
      </w:r>
    </w:p>
    <w:p w14:paraId="49518CC0" w14:textId="77777777" w:rsidR="006E3E9C" w:rsidRDefault="006E3E9C">
      <w:pPr>
        <w:jc w:val="center"/>
        <w:rPr>
          <w:b/>
        </w:rPr>
      </w:pPr>
    </w:p>
    <w:p w14:paraId="49518CC1" w14:textId="1EB64363" w:rsidR="006E3E9C" w:rsidRDefault="00722646">
      <w:pPr>
        <w:ind w:firstLine="709"/>
        <w:jc w:val="both"/>
      </w:pPr>
      <w:r>
        <w:t>37</w:t>
      </w:r>
      <w:r>
        <w:t>. Asmenys, pažeidę šios Tvarkos reikalavimus, atsako Lietuvos Respublikos įstatymų nustatyta tvarka.</w:t>
      </w:r>
    </w:p>
    <w:p w14:paraId="49518CC4" w14:textId="58F6F3D6" w:rsidR="006E3E9C" w:rsidRDefault="00722646" w:rsidP="00722646">
      <w:pPr>
        <w:jc w:val="center"/>
      </w:pPr>
      <w:r>
        <w:t>______________</w:t>
      </w:r>
    </w:p>
    <w:p w14:paraId="49518CC5" w14:textId="4E6C9CCC" w:rsidR="006E3E9C" w:rsidRDefault="00722646" w:rsidP="00722646">
      <w:pPr>
        <w:ind w:left="5102"/>
      </w:pPr>
      <w:r>
        <w:br w:type="page"/>
      </w:r>
      <w:r>
        <w:lastRenderedPageBreak/>
        <w:t>Kuro, kuriam taikomos akcizų lengvatos,</w:t>
      </w:r>
    </w:p>
    <w:p w14:paraId="49518CC6" w14:textId="77777777" w:rsidR="006E3E9C" w:rsidRDefault="00722646">
      <w:pPr>
        <w:ind w:firstLine="5102"/>
      </w:pPr>
      <w:r>
        <w:t>k</w:t>
      </w:r>
      <w:r>
        <w:t>ontrolės tvarkos</w:t>
      </w:r>
    </w:p>
    <w:p w14:paraId="49518CC7" w14:textId="77777777" w:rsidR="006E3E9C" w:rsidRDefault="00722646">
      <w:pPr>
        <w:ind w:firstLine="5102"/>
      </w:pPr>
      <w:r>
        <w:t>1</w:t>
      </w:r>
      <w:r>
        <w:t xml:space="preserve"> priedas</w:t>
      </w:r>
    </w:p>
    <w:p w14:paraId="49518CC8" w14:textId="77777777" w:rsidR="006E3E9C" w:rsidRDefault="006E3E9C">
      <w:pPr>
        <w:ind w:firstLine="709"/>
      </w:pPr>
    </w:p>
    <w:p w14:paraId="49518CC9" w14:textId="77777777" w:rsidR="006E3E9C" w:rsidRDefault="00722646">
      <w:pPr>
        <w:jc w:val="center"/>
      </w:pPr>
      <w:r>
        <w:t>Protokolo Nr.</w:t>
      </w:r>
    </w:p>
    <w:p w14:paraId="49518CCA" w14:textId="77777777" w:rsidR="006E3E9C" w:rsidRDefault="006E3E9C">
      <w:pPr>
        <w:jc w:val="center"/>
        <w:rPr>
          <w:b/>
        </w:rPr>
      </w:pPr>
    </w:p>
    <w:p w14:paraId="49518CCB" w14:textId="7067A650" w:rsidR="006E3E9C" w:rsidRDefault="00722646">
      <w:pPr>
        <w:jc w:val="center"/>
        <w:rPr>
          <w:b/>
        </w:rPr>
      </w:pPr>
      <w:r>
        <w:rPr>
          <w:b/>
        </w:rPr>
        <w:t xml:space="preserve">PROTOKOLAS APIE KURO MĖGINIO PAĖMIMĄ </w:t>
      </w:r>
    </w:p>
    <w:p w14:paraId="49518CCC" w14:textId="21F3FE76" w:rsidR="006E3E9C" w:rsidRDefault="00722646">
      <w:pPr>
        <w:jc w:val="center"/>
        <w:rPr>
          <w:b/>
        </w:rPr>
      </w:pPr>
      <w:r>
        <w:rPr>
          <w:b/>
        </w:rPr>
        <w:t>IR PIRMINIO KURO PATIKRINIMO REZULTATUS</w:t>
      </w:r>
    </w:p>
    <w:p w14:paraId="49518CCD" w14:textId="77777777" w:rsidR="006E3E9C" w:rsidRDefault="006E3E9C">
      <w:pPr>
        <w:jc w:val="center"/>
        <w:rPr>
          <w:b/>
        </w:rPr>
      </w:pPr>
    </w:p>
    <w:p w14:paraId="49518CCE" w14:textId="77777777" w:rsidR="006E3E9C" w:rsidRDefault="00722646">
      <w:pPr>
        <w:tabs>
          <w:tab w:val="right" w:leader="dot" w:pos="9638"/>
        </w:tabs>
        <w:ind w:firstLine="709"/>
        <w:jc w:val="both"/>
      </w:pPr>
      <w:r>
        <w:t xml:space="preserve">Mėginio paėmimo data ir laikas </w:t>
      </w:r>
      <w:r>
        <w:tab/>
      </w:r>
    </w:p>
    <w:p w14:paraId="49518CCF" w14:textId="77777777" w:rsidR="006E3E9C" w:rsidRDefault="006E3E9C">
      <w:pPr>
        <w:tabs>
          <w:tab w:val="right" w:leader="dot" w:pos="9072"/>
        </w:tabs>
        <w:ind w:firstLine="709"/>
        <w:jc w:val="both"/>
      </w:pPr>
    </w:p>
    <w:p w14:paraId="49518CD0" w14:textId="77777777" w:rsidR="006E3E9C" w:rsidRDefault="00722646">
      <w:pPr>
        <w:tabs>
          <w:tab w:val="right" w:leader="dot" w:pos="9638"/>
        </w:tabs>
        <w:ind w:firstLine="709"/>
        <w:jc w:val="both"/>
      </w:pPr>
      <w:r>
        <w:t xml:space="preserve">Mėginio paėmimo vieta </w:t>
      </w:r>
      <w:r>
        <w:tab/>
      </w:r>
    </w:p>
    <w:p w14:paraId="49518CD1" w14:textId="77777777" w:rsidR="006E3E9C" w:rsidRDefault="006E3E9C">
      <w:pPr>
        <w:tabs>
          <w:tab w:val="right" w:leader="dot" w:pos="9072"/>
        </w:tabs>
        <w:ind w:firstLine="709"/>
        <w:jc w:val="both"/>
      </w:pPr>
    </w:p>
    <w:p w14:paraId="49518CD2" w14:textId="77777777" w:rsidR="006E3E9C" w:rsidRDefault="00722646">
      <w:pPr>
        <w:tabs>
          <w:tab w:val="right" w:leader="dot" w:pos="9638"/>
        </w:tabs>
        <w:ind w:firstLine="709"/>
        <w:jc w:val="both"/>
      </w:pPr>
      <w:r>
        <w:t xml:space="preserve">Duomenys apie tikrinamąjį asmenį </w:t>
      </w:r>
      <w:r>
        <w:tab/>
      </w:r>
    </w:p>
    <w:p w14:paraId="49518CD3" w14:textId="77777777" w:rsidR="006E3E9C" w:rsidRDefault="006E3E9C">
      <w:pPr>
        <w:tabs>
          <w:tab w:val="right" w:leader="dot" w:pos="9072"/>
        </w:tabs>
        <w:ind w:firstLine="709"/>
        <w:jc w:val="both"/>
      </w:pPr>
    </w:p>
    <w:p w14:paraId="49518CD4" w14:textId="77777777" w:rsidR="006E3E9C" w:rsidRDefault="00722646">
      <w:pPr>
        <w:tabs>
          <w:tab w:val="right" w:leader="dot" w:pos="9072"/>
        </w:tabs>
        <w:ind w:firstLine="709"/>
        <w:jc w:val="both"/>
      </w:pPr>
      <w:r>
        <w:t xml:space="preserve">Talpyklos, iš kurios buvo paimtas mėginys, tipas, jeigu mėginys paimtas iš transporto priemonės, jos valstybinis registracinis numeris </w:t>
      </w:r>
    </w:p>
    <w:p w14:paraId="49518CD5" w14:textId="77777777" w:rsidR="006E3E9C" w:rsidRDefault="00722646">
      <w:pPr>
        <w:tabs>
          <w:tab w:val="right" w:leader="dot" w:pos="9638"/>
        </w:tabs>
        <w:jc w:val="both"/>
      </w:pPr>
      <w:r>
        <w:tab/>
      </w:r>
    </w:p>
    <w:p w14:paraId="49518CD6" w14:textId="77777777" w:rsidR="006E3E9C" w:rsidRDefault="00722646">
      <w:pPr>
        <w:tabs>
          <w:tab w:val="right" w:leader="dot" w:pos="9638"/>
        </w:tabs>
        <w:jc w:val="both"/>
      </w:pPr>
      <w:r>
        <w:tab/>
      </w:r>
    </w:p>
    <w:p w14:paraId="49518CD7" w14:textId="77777777" w:rsidR="006E3E9C" w:rsidRDefault="00722646">
      <w:pPr>
        <w:tabs>
          <w:tab w:val="right" w:leader="dot" w:pos="9638"/>
        </w:tabs>
        <w:ind w:firstLine="709"/>
        <w:jc w:val="both"/>
      </w:pPr>
      <w:r>
        <w:t xml:space="preserve">Pirminio patikrinimo rezultatai </w:t>
      </w:r>
      <w:r>
        <w:tab/>
      </w:r>
    </w:p>
    <w:p w14:paraId="49518CD8" w14:textId="77777777" w:rsidR="006E3E9C" w:rsidRDefault="006E3E9C">
      <w:pPr>
        <w:tabs>
          <w:tab w:val="right" w:leader="dot" w:pos="9072"/>
        </w:tabs>
        <w:ind w:firstLine="709"/>
        <w:jc w:val="both"/>
      </w:pPr>
    </w:p>
    <w:p w14:paraId="49518CD9" w14:textId="77777777" w:rsidR="006E3E9C" w:rsidRDefault="00722646">
      <w:pPr>
        <w:tabs>
          <w:tab w:val="right" w:leader="dot" w:pos="9638"/>
        </w:tabs>
        <w:ind w:firstLine="709"/>
        <w:jc w:val="both"/>
      </w:pPr>
      <w:r>
        <w:t xml:space="preserve">Paimto mėginio aprašymas </w:t>
      </w:r>
      <w:r>
        <w:tab/>
      </w:r>
    </w:p>
    <w:p w14:paraId="49518CDA" w14:textId="77777777" w:rsidR="006E3E9C" w:rsidRDefault="006E3E9C">
      <w:pPr>
        <w:tabs>
          <w:tab w:val="right" w:leader="dot" w:pos="9072"/>
        </w:tabs>
        <w:ind w:firstLine="709"/>
        <w:jc w:val="both"/>
      </w:pPr>
    </w:p>
    <w:p w14:paraId="49518CDB" w14:textId="77777777" w:rsidR="006E3E9C" w:rsidRDefault="00722646">
      <w:pPr>
        <w:tabs>
          <w:tab w:val="right" w:leader="dot" w:pos="9072"/>
        </w:tabs>
        <w:ind w:firstLine="709"/>
        <w:jc w:val="both"/>
      </w:pPr>
      <w:r>
        <w:t>Tikrinamų asmenų arba atstovų, iš kurių paimtas mėgin</w:t>
      </w:r>
      <w:r>
        <w:t>ys, vardai, pavardės ir parašai:</w:t>
      </w:r>
    </w:p>
    <w:p w14:paraId="49518CDC" w14:textId="77777777" w:rsidR="006E3E9C" w:rsidRDefault="006E3E9C">
      <w:pPr>
        <w:tabs>
          <w:tab w:val="right" w:leader="dot" w:pos="9072"/>
        </w:tabs>
        <w:ind w:firstLine="709"/>
        <w:jc w:val="both"/>
      </w:pPr>
    </w:p>
    <w:p w14:paraId="49518CDD" w14:textId="77777777" w:rsidR="006E3E9C" w:rsidRDefault="00722646">
      <w:pPr>
        <w:tabs>
          <w:tab w:val="right" w:leader="dot" w:pos="9638"/>
        </w:tabs>
        <w:ind w:firstLine="1680"/>
        <w:jc w:val="both"/>
      </w:pPr>
      <w:r>
        <w:tab/>
      </w:r>
    </w:p>
    <w:p w14:paraId="49518CDE" w14:textId="77777777" w:rsidR="006E3E9C" w:rsidRDefault="006E3E9C">
      <w:pPr>
        <w:tabs>
          <w:tab w:val="right" w:leader="dot" w:pos="9072"/>
        </w:tabs>
        <w:ind w:firstLine="709"/>
        <w:jc w:val="both"/>
      </w:pPr>
    </w:p>
    <w:p w14:paraId="49518CDF" w14:textId="77777777" w:rsidR="006E3E9C" w:rsidRDefault="00722646">
      <w:pPr>
        <w:tabs>
          <w:tab w:val="right" w:leader="dot" w:pos="9638"/>
        </w:tabs>
        <w:ind w:firstLine="1680"/>
        <w:jc w:val="both"/>
      </w:pPr>
      <w:r>
        <w:tab/>
      </w:r>
    </w:p>
    <w:p w14:paraId="49518CE0" w14:textId="77777777" w:rsidR="006E3E9C" w:rsidRDefault="006E3E9C">
      <w:pPr>
        <w:tabs>
          <w:tab w:val="right" w:leader="dot" w:pos="9072"/>
        </w:tabs>
        <w:ind w:firstLine="709"/>
        <w:jc w:val="both"/>
      </w:pPr>
    </w:p>
    <w:p w14:paraId="49518CE1" w14:textId="77777777" w:rsidR="006E3E9C" w:rsidRDefault="00722646">
      <w:pPr>
        <w:tabs>
          <w:tab w:val="right" w:leader="dot" w:pos="9638"/>
        </w:tabs>
        <w:ind w:firstLine="1680"/>
        <w:jc w:val="both"/>
      </w:pPr>
      <w:r>
        <w:tab/>
      </w:r>
    </w:p>
    <w:p w14:paraId="49518CE2" w14:textId="77777777" w:rsidR="006E3E9C" w:rsidRDefault="006E3E9C">
      <w:pPr>
        <w:tabs>
          <w:tab w:val="right" w:leader="dot" w:pos="9072"/>
        </w:tabs>
        <w:ind w:firstLine="709"/>
        <w:jc w:val="both"/>
      </w:pPr>
    </w:p>
    <w:p w14:paraId="49518CE3" w14:textId="77777777" w:rsidR="006E3E9C" w:rsidRDefault="00722646">
      <w:pPr>
        <w:tabs>
          <w:tab w:val="right" w:leader="dot" w:pos="9072"/>
        </w:tabs>
        <w:ind w:firstLine="709"/>
        <w:jc w:val="both"/>
      </w:pPr>
      <w:r>
        <w:t>Asmenų, atlikusių kontrolę, vardai, pavardės, pareigos, parašai</w:t>
      </w:r>
    </w:p>
    <w:p w14:paraId="49518CE4" w14:textId="77777777" w:rsidR="006E3E9C" w:rsidRDefault="006E3E9C">
      <w:pPr>
        <w:tabs>
          <w:tab w:val="right" w:leader="dot" w:pos="9072"/>
        </w:tabs>
        <w:ind w:firstLine="709"/>
        <w:jc w:val="both"/>
      </w:pPr>
    </w:p>
    <w:p w14:paraId="49518CE5" w14:textId="78076CD3" w:rsidR="006E3E9C" w:rsidRDefault="00722646">
      <w:pPr>
        <w:tabs>
          <w:tab w:val="right" w:leader="dot" w:pos="9638"/>
        </w:tabs>
        <w:ind w:firstLine="1680"/>
        <w:jc w:val="both"/>
      </w:pPr>
      <w:r>
        <w:tab/>
      </w:r>
    </w:p>
    <w:p w14:paraId="49518CE8" w14:textId="6455ED19" w:rsidR="006E3E9C" w:rsidRDefault="00722646" w:rsidP="00722646">
      <w:pPr>
        <w:jc w:val="center"/>
      </w:pPr>
      <w:r>
        <w:t>______________</w:t>
      </w:r>
    </w:p>
    <w:bookmarkStart w:id="0" w:name="_GoBack" w:displacedByCustomXml="prev"/>
    <w:p w14:paraId="49518CE9" w14:textId="77777777" w:rsidR="006E3E9C" w:rsidRDefault="00722646" w:rsidP="00722646">
      <w:pPr>
        <w:ind w:left="5102"/>
      </w:pPr>
      <w:r>
        <w:br w:type="page"/>
      </w:r>
      <w:r>
        <w:lastRenderedPageBreak/>
        <w:t>Kuro, kuriam taikomos akcizų</w:t>
      </w:r>
    </w:p>
    <w:p w14:paraId="49518CEA" w14:textId="77777777" w:rsidR="006E3E9C" w:rsidRDefault="00722646">
      <w:pPr>
        <w:ind w:firstLine="5102"/>
      </w:pPr>
      <w:r>
        <w:t>lengvatos, kontrolės tvarkos</w:t>
      </w:r>
    </w:p>
    <w:p w14:paraId="49518CEB" w14:textId="77777777" w:rsidR="006E3E9C" w:rsidRDefault="00722646">
      <w:pPr>
        <w:ind w:firstLine="5102"/>
      </w:pPr>
      <w:r>
        <w:t>2</w:t>
      </w:r>
      <w:r>
        <w:t xml:space="preserve"> priedas</w:t>
      </w:r>
    </w:p>
    <w:p w14:paraId="49518CEC" w14:textId="77777777" w:rsidR="006E3E9C" w:rsidRDefault="006E3E9C">
      <w:pPr>
        <w:ind w:firstLine="709"/>
      </w:pPr>
    </w:p>
    <w:p w14:paraId="49518CED" w14:textId="77777777" w:rsidR="006E3E9C" w:rsidRDefault="00722646">
      <w:pPr>
        <w:jc w:val="center"/>
        <w:rPr>
          <w:b/>
        </w:rPr>
      </w:pPr>
      <w:r>
        <w:rPr>
          <w:b/>
        </w:rPr>
        <w:t xml:space="preserve">ŽYMĖTO KURO SPALVOS PRIKLAUSOMYBĖ NUO PRASKIEDIMO </w:t>
      </w:r>
      <w:r>
        <w:rPr>
          <w:b/>
        </w:rPr>
        <w:t>DYZELINU</w:t>
      </w:r>
    </w:p>
    <w:p w14:paraId="49518CEE" w14:textId="77777777" w:rsidR="006E3E9C" w:rsidRDefault="006E3E9C">
      <w:pPr>
        <w:jc w:val="center"/>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36"/>
        <w:gridCol w:w="1019"/>
        <w:gridCol w:w="436"/>
        <w:gridCol w:w="933"/>
        <w:gridCol w:w="520"/>
        <w:gridCol w:w="945"/>
        <w:gridCol w:w="364"/>
        <w:gridCol w:w="1102"/>
        <w:gridCol w:w="353"/>
        <w:gridCol w:w="1114"/>
        <w:gridCol w:w="340"/>
        <w:gridCol w:w="1127"/>
      </w:tblGrid>
      <w:tr w:rsidR="006E3E9C" w14:paraId="49518D01" w14:textId="77777777">
        <w:tc>
          <w:tcPr>
            <w:tcW w:w="925" w:type="dxa"/>
            <w:tcBorders>
              <w:top w:val="single" w:sz="4" w:space="0" w:color="auto"/>
              <w:left w:val="single" w:sz="4" w:space="0" w:color="auto"/>
              <w:bottom w:val="single" w:sz="4" w:space="0" w:color="auto"/>
              <w:right w:val="single" w:sz="4" w:space="0" w:color="auto"/>
            </w:tcBorders>
            <w:shd w:val="clear" w:color="auto" w:fill="333333"/>
          </w:tcPr>
          <w:p w14:paraId="49518CEF" w14:textId="77777777" w:rsidR="006E3E9C" w:rsidRDefault="006E3E9C">
            <w:pPr>
              <w:jc w:val="both"/>
              <w:rPr>
                <w:b/>
                <w:sz w:val="20"/>
              </w:rPr>
            </w:pPr>
          </w:p>
          <w:p w14:paraId="49518CF0" w14:textId="77777777" w:rsidR="006E3E9C" w:rsidRDefault="006E3E9C">
            <w:pPr>
              <w:jc w:val="both"/>
              <w:rPr>
                <w:b/>
                <w:sz w:val="20"/>
              </w:rPr>
            </w:pPr>
          </w:p>
          <w:p w14:paraId="49518CF1" w14:textId="77777777" w:rsidR="006E3E9C" w:rsidRDefault="006E3E9C">
            <w:pPr>
              <w:jc w:val="both"/>
              <w:rPr>
                <w:b/>
                <w:sz w:val="20"/>
              </w:rPr>
            </w:pPr>
          </w:p>
          <w:p w14:paraId="49518CF2" w14:textId="77777777" w:rsidR="006E3E9C" w:rsidRDefault="006E3E9C">
            <w:pPr>
              <w:jc w:val="both"/>
              <w:rPr>
                <w:b/>
                <w:sz w:val="20"/>
              </w:rPr>
            </w:pPr>
          </w:p>
          <w:p w14:paraId="49518CF3" w14:textId="77777777" w:rsidR="006E3E9C" w:rsidRDefault="006E3E9C">
            <w:pPr>
              <w:jc w:val="both"/>
              <w:rPr>
                <w:b/>
                <w:sz w:val="20"/>
              </w:rPr>
            </w:pPr>
          </w:p>
          <w:p w14:paraId="49518CF4" w14:textId="77777777" w:rsidR="006E3E9C" w:rsidRDefault="006E3E9C">
            <w:pPr>
              <w:jc w:val="both"/>
              <w:rPr>
                <w:b/>
                <w:sz w:val="20"/>
              </w:rPr>
            </w:pPr>
          </w:p>
        </w:tc>
        <w:tc>
          <w:tcPr>
            <w:tcW w:w="425" w:type="dxa"/>
            <w:tcBorders>
              <w:top w:val="nil"/>
              <w:left w:val="single" w:sz="4" w:space="0" w:color="auto"/>
              <w:bottom w:val="nil"/>
              <w:right w:val="single" w:sz="4" w:space="0" w:color="auto"/>
            </w:tcBorders>
          </w:tcPr>
          <w:p w14:paraId="49518CF5" w14:textId="77777777" w:rsidR="006E3E9C" w:rsidRDefault="006E3E9C">
            <w:pPr>
              <w:jc w:val="both"/>
              <w:rPr>
                <w:b/>
                <w:sz w:val="20"/>
              </w:rPr>
            </w:pPr>
          </w:p>
        </w:tc>
        <w:tc>
          <w:tcPr>
            <w:tcW w:w="993" w:type="dxa"/>
            <w:tcBorders>
              <w:top w:val="single" w:sz="4" w:space="0" w:color="auto"/>
              <w:left w:val="single" w:sz="4" w:space="0" w:color="auto"/>
              <w:bottom w:val="single" w:sz="4" w:space="0" w:color="auto"/>
              <w:right w:val="single" w:sz="4" w:space="0" w:color="auto"/>
            </w:tcBorders>
            <w:shd w:val="clear" w:color="auto" w:fill="333333"/>
          </w:tcPr>
          <w:p w14:paraId="49518CF6" w14:textId="77777777" w:rsidR="006E3E9C" w:rsidRDefault="006E3E9C">
            <w:pPr>
              <w:jc w:val="both"/>
              <w:rPr>
                <w:b/>
                <w:sz w:val="20"/>
              </w:rPr>
            </w:pPr>
          </w:p>
        </w:tc>
        <w:tc>
          <w:tcPr>
            <w:tcW w:w="425" w:type="dxa"/>
            <w:tcBorders>
              <w:top w:val="nil"/>
              <w:left w:val="single" w:sz="4" w:space="0" w:color="auto"/>
              <w:bottom w:val="nil"/>
              <w:right w:val="single" w:sz="4" w:space="0" w:color="auto"/>
            </w:tcBorders>
          </w:tcPr>
          <w:p w14:paraId="49518CF7" w14:textId="77777777" w:rsidR="006E3E9C" w:rsidRDefault="006E3E9C">
            <w:pPr>
              <w:jc w:val="both"/>
              <w:rPr>
                <w:b/>
                <w:sz w:val="20"/>
              </w:rPr>
            </w:pPr>
          </w:p>
        </w:tc>
        <w:tc>
          <w:tcPr>
            <w:tcW w:w="910" w:type="dxa"/>
            <w:tcBorders>
              <w:top w:val="single" w:sz="4" w:space="0" w:color="auto"/>
              <w:left w:val="single" w:sz="4" w:space="0" w:color="auto"/>
              <w:bottom w:val="single" w:sz="4" w:space="0" w:color="auto"/>
              <w:right w:val="single" w:sz="4" w:space="0" w:color="auto"/>
            </w:tcBorders>
            <w:shd w:val="clear" w:color="auto" w:fill="666666"/>
          </w:tcPr>
          <w:p w14:paraId="49518CF8" w14:textId="77777777" w:rsidR="006E3E9C" w:rsidRDefault="006E3E9C">
            <w:pPr>
              <w:jc w:val="both"/>
              <w:rPr>
                <w:b/>
                <w:sz w:val="20"/>
              </w:rPr>
            </w:pPr>
          </w:p>
        </w:tc>
        <w:tc>
          <w:tcPr>
            <w:tcW w:w="507" w:type="dxa"/>
            <w:tcBorders>
              <w:top w:val="nil"/>
              <w:left w:val="single" w:sz="4" w:space="0" w:color="auto"/>
              <w:bottom w:val="nil"/>
              <w:right w:val="single" w:sz="4" w:space="0" w:color="auto"/>
            </w:tcBorders>
          </w:tcPr>
          <w:p w14:paraId="49518CF9" w14:textId="77777777" w:rsidR="006E3E9C" w:rsidRDefault="006E3E9C">
            <w:pPr>
              <w:jc w:val="both"/>
              <w:rPr>
                <w:b/>
                <w:sz w:val="20"/>
              </w:rPr>
            </w:pPr>
          </w:p>
        </w:tc>
        <w:tc>
          <w:tcPr>
            <w:tcW w:w="921" w:type="dxa"/>
            <w:tcBorders>
              <w:top w:val="single" w:sz="4" w:space="0" w:color="auto"/>
              <w:left w:val="single" w:sz="4" w:space="0" w:color="auto"/>
              <w:bottom w:val="single" w:sz="4" w:space="0" w:color="auto"/>
              <w:right w:val="single" w:sz="4" w:space="0" w:color="auto"/>
            </w:tcBorders>
            <w:shd w:val="clear" w:color="auto" w:fill="999999"/>
          </w:tcPr>
          <w:p w14:paraId="49518CFA" w14:textId="77777777" w:rsidR="006E3E9C" w:rsidRDefault="006E3E9C">
            <w:pPr>
              <w:jc w:val="both"/>
              <w:rPr>
                <w:b/>
                <w:sz w:val="20"/>
              </w:rPr>
            </w:pPr>
          </w:p>
        </w:tc>
        <w:tc>
          <w:tcPr>
            <w:tcW w:w="355" w:type="dxa"/>
            <w:tcBorders>
              <w:top w:val="nil"/>
              <w:left w:val="single" w:sz="4" w:space="0" w:color="auto"/>
              <w:bottom w:val="nil"/>
              <w:right w:val="single" w:sz="4" w:space="0" w:color="auto"/>
            </w:tcBorders>
          </w:tcPr>
          <w:p w14:paraId="49518CFB" w14:textId="77777777" w:rsidR="006E3E9C" w:rsidRDefault="006E3E9C">
            <w:pPr>
              <w:jc w:val="both"/>
              <w:rPr>
                <w:b/>
                <w:sz w:val="20"/>
              </w:rPr>
            </w:pPr>
          </w:p>
        </w:tc>
        <w:tc>
          <w:tcPr>
            <w:tcW w:w="1074" w:type="dxa"/>
            <w:tcBorders>
              <w:top w:val="single" w:sz="4" w:space="0" w:color="auto"/>
              <w:left w:val="single" w:sz="4" w:space="0" w:color="auto"/>
              <w:bottom w:val="single" w:sz="4" w:space="0" w:color="auto"/>
              <w:right w:val="single" w:sz="4" w:space="0" w:color="auto"/>
            </w:tcBorders>
            <w:shd w:val="clear" w:color="auto" w:fill="E6E6E6"/>
          </w:tcPr>
          <w:p w14:paraId="49518CFC" w14:textId="77777777" w:rsidR="006E3E9C" w:rsidRDefault="006E3E9C">
            <w:pPr>
              <w:jc w:val="both"/>
              <w:rPr>
                <w:b/>
                <w:sz w:val="20"/>
              </w:rPr>
            </w:pPr>
          </w:p>
        </w:tc>
        <w:tc>
          <w:tcPr>
            <w:tcW w:w="344" w:type="dxa"/>
            <w:tcBorders>
              <w:top w:val="nil"/>
              <w:left w:val="single" w:sz="4" w:space="0" w:color="auto"/>
              <w:bottom w:val="nil"/>
              <w:right w:val="single" w:sz="4" w:space="0" w:color="auto"/>
            </w:tcBorders>
          </w:tcPr>
          <w:p w14:paraId="49518CFD" w14:textId="77777777" w:rsidR="006E3E9C" w:rsidRDefault="006E3E9C">
            <w:pPr>
              <w:jc w:val="both"/>
              <w:rPr>
                <w:b/>
                <w:sz w:val="20"/>
              </w:rPr>
            </w:pPr>
          </w:p>
        </w:tc>
        <w:tc>
          <w:tcPr>
            <w:tcW w:w="1086" w:type="dxa"/>
            <w:tcBorders>
              <w:top w:val="single" w:sz="4" w:space="0" w:color="auto"/>
              <w:left w:val="single" w:sz="4" w:space="0" w:color="auto"/>
              <w:bottom w:val="single" w:sz="4" w:space="0" w:color="auto"/>
              <w:right w:val="single" w:sz="4" w:space="0" w:color="auto"/>
            </w:tcBorders>
            <w:shd w:val="clear" w:color="auto" w:fill="F3F3F3"/>
          </w:tcPr>
          <w:p w14:paraId="49518CFE" w14:textId="77777777" w:rsidR="006E3E9C" w:rsidRDefault="006E3E9C">
            <w:pPr>
              <w:jc w:val="both"/>
              <w:rPr>
                <w:b/>
                <w:sz w:val="20"/>
              </w:rPr>
            </w:pPr>
          </w:p>
        </w:tc>
        <w:tc>
          <w:tcPr>
            <w:tcW w:w="331" w:type="dxa"/>
            <w:tcBorders>
              <w:top w:val="nil"/>
              <w:left w:val="single" w:sz="4" w:space="0" w:color="auto"/>
              <w:bottom w:val="nil"/>
              <w:right w:val="single" w:sz="4" w:space="0" w:color="auto"/>
            </w:tcBorders>
          </w:tcPr>
          <w:p w14:paraId="49518CFF" w14:textId="77777777" w:rsidR="006E3E9C" w:rsidRDefault="006E3E9C">
            <w:pPr>
              <w:jc w:val="both"/>
              <w:rPr>
                <w:b/>
                <w:sz w:val="20"/>
              </w:rPr>
            </w:pPr>
          </w:p>
        </w:tc>
        <w:tc>
          <w:tcPr>
            <w:tcW w:w="1099" w:type="dxa"/>
            <w:tcBorders>
              <w:top w:val="single" w:sz="4" w:space="0" w:color="auto"/>
              <w:left w:val="single" w:sz="4" w:space="0" w:color="auto"/>
              <w:bottom w:val="single" w:sz="4" w:space="0" w:color="auto"/>
              <w:right w:val="single" w:sz="4" w:space="0" w:color="auto"/>
            </w:tcBorders>
          </w:tcPr>
          <w:p w14:paraId="49518D00" w14:textId="77777777" w:rsidR="006E3E9C" w:rsidRDefault="006E3E9C">
            <w:pPr>
              <w:jc w:val="both"/>
              <w:rPr>
                <w:b/>
                <w:sz w:val="20"/>
              </w:rPr>
            </w:pPr>
          </w:p>
        </w:tc>
      </w:tr>
    </w:tbl>
    <w:p w14:paraId="49518D02" w14:textId="77777777" w:rsidR="006E3E9C" w:rsidRDefault="006E3E9C">
      <w:pPr>
        <w:tabs>
          <w:tab w:val="left" w:pos="817"/>
          <w:tab w:val="left" w:pos="1242"/>
          <w:tab w:val="left" w:pos="2235"/>
          <w:tab w:val="left" w:pos="2660"/>
          <w:tab w:val="left" w:pos="3570"/>
          <w:tab w:val="left" w:pos="4077"/>
          <w:tab w:val="left" w:pos="4998"/>
          <w:tab w:val="left" w:pos="5353"/>
          <w:tab w:val="left" w:pos="6427"/>
          <w:tab w:val="left" w:pos="6771"/>
          <w:tab w:val="left" w:pos="7857"/>
          <w:tab w:val="left" w:pos="8188"/>
        </w:tabs>
        <w:ind w:firstLine="709"/>
        <w:rPr>
          <w:b/>
        </w:rPr>
      </w:pPr>
    </w:p>
    <w:tbl>
      <w:tblPr>
        <w:tblW w:w="9637" w:type="dxa"/>
        <w:tblLayout w:type="fixed"/>
        <w:tblLook w:val="01E0" w:firstRow="1" w:lastRow="1" w:firstColumn="1" w:lastColumn="1" w:noHBand="0" w:noVBand="0"/>
      </w:tblPr>
      <w:tblGrid>
        <w:gridCol w:w="1084"/>
        <w:gridCol w:w="353"/>
        <w:gridCol w:w="1026"/>
        <w:gridCol w:w="417"/>
        <w:gridCol w:w="886"/>
        <w:gridCol w:w="492"/>
        <w:gridCol w:w="897"/>
        <w:gridCol w:w="548"/>
        <w:gridCol w:w="882"/>
        <w:gridCol w:w="588"/>
        <w:gridCol w:w="883"/>
        <w:gridCol w:w="441"/>
        <w:gridCol w:w="1140"/>
      </w:tblGrid>
      <w:tr w:rsidR="006E3E9C" w14:paraId="49518D13" w14:textId="77777777">
        <w:tc>
          <w:tcPr>
            <w:tcW w:w="1044" w:type="dxa"/>
          </w:tcPr>
          <w:p w14:paraId="49518D03" w14:textId="77777777" w:rsidR="006E3E9C" w:rsidRDefault="00722646">
            <w:pPr>
              <w:jc w:val="both"/>
              <w:rPr>
                <w:sz w:val="20"/>
              </w:rPr>
            </w:pPr>
            <w:r>
              <w:rPr>
                <w:sz w:val="20"/>
              </w:rPr>
              <w:t>100 %</w:t>
            </w:r>
          </w:p>
          <w:p w14:paraId="49518D04" w14:textId="77777777" w:rsidR="006E3E9C" w:rsidRDefault="00722646">
            <w:pPr>
              <w:jc w:val="both"/>
              <w:rPr>
                <w:b/>
                <w:sz w:val="20"/>
              </w:rPr>
            </w:pPr>
            <w:r>
              <w:rPr>
                <w:b/>
                <w:sz w:val="20"/>
              </w:rPr>
              <w:t>Grynas</w:t>
            </w:r>
          </w:p>
          <w:p w14:paraId="49518D05" w14:textId="77777777" w:rsidR="006E3E9C" w:rsidRDefault="00722646">
            <w:pPr>
              <w:jc w:val="both"/>
              <w:rPr>
                <w:sz w:val="20"/>
              </w:rPr>
            </w:pPr>
            <w:r>
              <w:rPr>
                <w:b/>
                <w:sz w:val="20"/>
              </w:rPr>
              <w:t>žymėtas kuras</w:t>
            </w:r>
          </w:p>
        </w:tc>
        <w:tc>
          <w:tcPr>
            <w:tcW w:w="340" w:type="dxa"/>
          </w:tcPr>
          <w:p w14:paraId="49518D06" w14:textId="77777777" w:rsidR="006E3E9C" w:rsidRDefault="006E3E9C">
            <w:pPr>
              <w:jc w:val="both"/>
              <w:rPr>
                <w:sz w:val="20"/>
              </w:rPr>
            </w:pPr>
          </w:p>
        </w:tc>
        <w:tc>
          <w:tcPr>
            <w:tcW w:w="989" w:type="dxa"/>
          </w:tcPr>
          <w:p w14:paraId="49518D07" w14:textId="77777777" w:rsidR="006E3E9C" w:rsidRDefault="00722646">
            <w:pPr>
              <w:jc w:val="both"/>
              <w:rPr>
                <w:sz w:val="20"/>
              </w:rPr>
            </w:pPr>
            <w:r>
              <w:rPr>
                <w:sz w:val="20"/>
              </w:rPr>
              <w:t>80 %</w:t>
            </w:r>
          </w:p>
        </w:tc>
        <w:tc>
          <w:tcPr>
            <w:tcW w:w="402" w:type="dxa"/>
          </w:tcPr>
          <w:p w14:paraId="49518D08" w14:textId="77777777" w:rsidR="006E3E9C" w:rsidRDefault="006E3E9C">
            <w:pPr>
              <w:jc w:val="both"/>
              <w:rPr>
                <w:sz w:val="20"/>
              </w:rPr>
            </w:pPr>
          </w:p>
        </w:tc>
        <w:tc>
          <w:tcPr>
            <w:tcW w:w="854" w:type="dxa"/>
          </w:tcPr>
          <w:p w14:paraId="49518D09" w14:textId="77777777" w:rsidR="006E3E9C" w:rsidRDefault="00722646">
            <w:pPr>
              <w:jc w:val="both"/>
              <w:rPr>
                <w:sz w:val="20"/>
              </w:rPr>
            </w:pPr>
            <w:r>
              <w:rPr>
                <w:sz w:val="20"/>
              </w:rPr>
              <w:t>60 %</w:t>
            </w:r>
          </w:p>
        </w:tc>
        <w:tc>
          <w:tcPr>
            <w:tcW w:w="474" w:type="dxa"/>
          </w:tcPr>
          <w:p w14:paraId="49518D0A" w14:textId="77777777" w:rsidR="006E3E9C" w:rsidRDefault="006E3E9C">
            <w:pPr>
              <w:jc w:val="both"/>
              <w:rPr>
                <w:sz w:val="20"/>
              </w:rPr>
            </w:pPr>
          </w:p>
        </w:tc>
        <w:tc>
          <w:tcPr>
            <w:tcW w:w="864" w:type="dxa"/>
          </w:tcPr>
          <w:p w14:paraId="49518D0B" w14:textId="77777777" w:rsidR="006E3E9C" w:rsidRDefault="00722646">
            <w:pPr>
              <w:jc w:val="both"/>
              <w:rPr>
                <w:sz w:val="20"/>
              </w:rPr>
            </w:pPr>
            <w:r>
              <w:rPr>
                <w:sz w:val="20"/>
              </w:rPr>
              <w:t>40 %</w:t>
            </w:r>
          </w:p>
        </w:tc>
        <w:tc>
          <w:tcPr>
            <w:tcW w:w="528" w:type="dxa"/>
          </w:tcPr>
          <w:p w14:paraId="49518D0C" w14:textId="77777777" w:rsidR="006E3E9C" w:rsidRDefault="006E3E9C">
            <w:pPr>
              <w:jc w:val="both"/>
              <w:rPr>
                <w:sz w:val="20"/>
              </w:rPr>
            </w:pPr>
          </w:p>
        </w:tc>
        <w:tc>
          <w:tcPr>
            <w:tcW w:w="850" w:type="dxa"/>
          </w:tcPr>
          <w:p w14:paraId="49518D0D" w14:textId="77777777" w:rsidR="006E3E9C" w:rsidRDefault="00722646">
            <w:pPr>
              <w:jc w:val="both"/>
              <w:rPr>
                <w:sz w:val="20"/>
              </w:rPr>
            </w:pPr>
            <w:r>
              <w:rPr>
                <w:sz w:val="20"/>
              </w:rPr>
              <w:t>20 %</w:t>
            </w:r>
          </w:p>
        </w:tc>
        <w:tc>
          <w:tcPr>
            <w:tcW w:w="567" w:type="dxa"/>
          </w:tcPr>
          <w:p w14:paraId="49518D0E" w14:textId="77777777" w:rsidR="006E3E9C" w:rsidRDefault="006E3E9C">
            <w:pPr>
              <w:jc w:val="both"/>
              <w:rPr>
                <w:sz w:val="20"/>
              </w:rPr>
            </w:pPr>
          </w:p>
        </w:tc>
        <w:tc>
          <w:tcPr>
            <w:tcW w:w="851" w:type="dxa"/>
          </w:tcPr>
          <w:p w14:paraId="49518D0F" w14:textId="77777777" w:rsidR="006E3E9C" w:rsidRDefault="00722646">
            <w:pPr>
              <w:jc w:val="both"/>
              <w:rPr>
                <w:sz w:val="20"/>
              </w:rPr>
            </w:pPr>
            <w:r>
              <w:rPr>
                <w:sz w:val="20"/>
              </w:rPr>
              <w:t>10 %</w:t>
            </w:r>
          </w:p>
        </w:tc>
        <w:tc>
          <w:tcPr>
            <w:tcW w:w="425" w:type="dxa"/>
          </w:tcPr>
          <w:p w14:paraId="49518D10" w14:textId="77777777" w:rsidR="006E3E9C" w:rsidRDefault="006E3E9C">
            <w:pPr>
              <w:jc w:val="both"/>
              <w:rPr>
                <w:sz w:val="20"/>
              </w:rPr>
            </w:pPr>
          </w:p>
        </w:tc>
        <w:tc>
          <w:tcPr>
            <w:tcW w:w="1099" w:type="dxa"/>
          </w:tcPr>
          <w:p w14:paraId="49518D11" w14:textId="77777777" w:rsidR="006E3E9C" w:rsidRDefault="00722646">
            <w:pPr>
              <w:jc w:val="both"/>
              <w:rPr>
                <w:b/>
                <w:sz w:val="20"/>
              </w:rPr>
            </w:pPr>
            <w:r>
              <w:rPr>
                <w:sz w:val="20"/>
              </w:rPr>
              <w:t>0 %</w:t>
            </w:r>
            <w:r>
              <w:rPr>
                <w:b/>
                <w:sz w:val="20"/>
              </w:rPr>
              <w:t xml:space="preserve"> </w:t>
            </w:r>
          </w:p>
          <w:p w14:paraId="49518D12" w14:textId="77777777" w:rsidR="006E3E9C" w:rsidRDefault="00722646">
            <w:pPr>
              <w:jc w:val="both"/>
              <w:rPr>
                <w:sz w:val="20"/>
              </w:rPr>
            </w:pPr>
            <w:r>
              <w:rPr>
                <w:b/>
                <w:sz w:val="20"/>
              </w:rPr>
              <w:t>Nežymėtas kuras</w:t>
            </w:r>
          </w:p>
        </w:tc>
      </w:tr>
    </w:tbl>
    <w:p w14:paraId="49518D14" w14:textId="77777777" w:rsidR="006E3E9C" w:rsidRDefault="006E3E9C">
      <w:pPr>
        <w:ind w:firstLine="709"/>
        <w:jc w:val="both"/>
        <w:rPr>
          <w:b/>
        </w:rPr>
      </w:pPr>
    </w:p>
    <w:p w14:paraId="49518D15" w14:textId="77777777" w:rsidR="006E3E9C" w:rsidRDefault="006E3E9C">
      <w:pPr>
        <w:jc w:val="center"/>
        <w:rPr>
          <w:b/>
        </w:rPr>
      </w:pPr>
    </w:p>
    <w:p w14:paraId="49518D16" w14:textId="3A0CC302" w:rsidR="006E3E9C" w:rsidRDefault="00722646">
      <w:pPr>
        <w:jc w:val="center"/>
        <w:rPr>
          <w:b/>
        </w:rPr>
      </w:pPr>
      <w:r>
        <w:rPr>
          <w:b/>
        </w:rPr>
        <w:t xml:space="preserve">IŠ KURO IŠEKSTRAHUOTO ŽYMIKLIO SPALVOS PRIKLAUSOMYBĖ NUO </w:t>
      </w:r>
      <w:r>
        <w:rPr>
          <w:b/>
        </w:rPr>
        <w:t>JO KIEKIO KURE</w:t>
      </w:r>
    </w:p>
    <w:p w14:paraId="49518D17" w14:textId="77777777" w:rsidR="006E3E9C" w:rsidRDefault="006E3E9C">
      <w:pPr>
        <w:ind w:firstLine="709"/>
        <w:jc w:val="both"/>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36"/>
        <w:gridCol w:w="1019"/>
        <w:gridCol w:w="436"/>
        <w:gridCol w:w="933"/>
        <w:gridCol w:w="520"/>
        <w:gridCol w:w="945"/>
        <w:gridCol w:w="364"/>
        <w:gridCol w:w="1102"/>
        <w:gridCol w:w="353"/>
        <w:gridCol w:w="1114"/>
        <w:gridCol w:w="340"/>
        <w:gridCol w:w="1127"/>
      </w:tblGrid>
      <w:tr w:rsidR="006E3E9C" w14:paraId="49518D2A" w14:textId="77777777">
        <w:tc>
          <w:tcPr>
            <w:tcW w:w="925" w:type="dxa"/>
            <w:tcBorders>
              <w:top w:val="single" w:sz="4" w:space="0" w:color="auto"/>
              <w:left w:val="single" w:sz="4" w:space="0" w:color="auto"/>
              <w:bottom w:val="single" w:sz="4" w:space="0" w:color="auto"/>
              <w:right w:val="single" w:sz="4" w:space="0" w:color="auto"/>
            </w:tcBorders>
            <w:shd w:val="clear" w:color="auto" w:fill="333333"/>
          </w:tcPr>
          <w:p w14:paraId="49518D18" w14:textId="77777777" w:rsidR="006E3E9C" w:rsidRDefault="006E3E9C">
            <w:pPr>
              <w:jc w:val="both"/>
              <w:rPr>
                <w:b/>
                <w:sz w:val="20"/>
              </w:rPr>
            </w:pPr>
          </w:p>
          <w:p w14:paraId="49518D19" w14:textId="77777777" w:rsidR="006E3E9C" w:rsidRDefault="006E3E9C">
            <w:pPr>
              <w:jc w:val="both"/>
              <w:rPr>
                <w:b/>
                <w:sz w:val="20"/>
              </w:rPr>
            </w:pPr>
          </w:p>
          <w:p w14:paraId="49518D1A" w14:textId="77777777" w:rsidR="006E3E9C" w:rsidRDefault="006E3E9C">
            <w:pPr>
              <w:jc w:val="both"/>
              <w:rPr>
                <w:b/>
                <w:sz w:val="20"/>
              </w:rPr>
            </w:pPr>
          </w:p>
          <w:p w14:paraId="49518D1B" w14:textId="77777777" w:rsidR="006E3E9C" w:rsidRDefault="006E3E9C">
            <w:pPr>
              <w:jc w:val="both"/>
              <w:rPr>
                <w:b/>
                <w:sz w:val="20"/>
              </w:rPr>
            </w:pPr>
          </w:p>
          <w:p w14:paraId="49518D1C" w14:textId="77777777" w:rsidR="006E3E9C" w:rsidRDefault="006E3E9C">
            <w:pPr>
              <w:jc w:val="both"/>
              <w:rPr>
                <w:b/>
                <w:sz w:val="20"/>
              </w:rPr>
            </w:pPr>
          </w:p>
          <w:p w14:paraId="49518D1D" w14:textId="77777777" w:rsidR="006E3E9C" w:rsidRDefault="006E3E9C">
            <w:pPr>
              <w:jc w:val="both"/>
              <w:rPr>
                <w:b/>
                <w:sz w:val="20"/>
              </w:rPr>
            </w:pPr>
          </w:p>
        </w:tc>
        <w:tc>
          <w:tcPr>
            <w:tcW w:w="425" w:type="dxa"/>
            <w:tcBorders>
              <w:top w:val="nil"/>
              <w:left w:val="single" w:sz="4" w:space="0" w:color="auto"/>
              <w:bottom w:val="nil"/>
              <w:right w:val="single" w:sz="4" w:space="0" w:color="auto"/>
            </w:tcBorders>
          </w:tcPr>
          <w:p w14:paraId="49518D1E" w14:textId="77777777" w:rsidR="006E3E9C" w:rsidRDefault="006E3E9C">
            <w:pPr>
              <w:jc w:val="both"/>
              <w:rPr>
                <w:b/>
                <w:sz w:val="20"/>
              </w:rPr>
            </w:pPr>
          </w:p>
        </w:tc>
        <w:tc>
          <w:tcPr>
            <w:tcW w:w="993" w:type="dxa"/>
            <w:tcBorders>
              <w:top w:val="single" w:sz="4" w:space="0" w:color="auto"/>
              <w:left w:val="single" w:sz="4" w:space="0" w:color="auto"/>
              <w:bottom w:val="single" w:sz="4" w:space="0" w:color="auto"/>
              <w:right w:val="single" w:sz="4" w:space="0" w:color="auto"/>
            </w:tcBorders>
            <w:shd w:val="clear" w:color="auto" w:fill="333333"/>
          </w:tcPr>
          <w:p w14:paraId="49518D1F" w14:textId="77777777" w:rsidR="006E3E9C" w:rsidRDefault="006E3E9C">
            <w:pPr>
              <w:jc w:val="both"/>
              <w:rPr>
                <w:b/>
                <w:sz w:val="20"/>
              </w:rPr>
            </w:pPr>
          </w:p>
        </w:tc>
        <w:tc>
          <w:tcPr>
            <w:tcW w:w="425" w:type="dxa"/>
            <w:tcBorders>
              <w:top w:val="nil"/>
              <w:left w:val="single" w:sz="4" w:space="0" w:color="auto"/>
              <w:bottom w:val="nil"/>
              <w:right w:val="single" w:sz="4" w:space="0" w:color="auto"/>
            </w:tcBorders>
          </w:tcPr>
          <w:p w14:paraId="49518D20" w14:textId="77777777" w:rsidR="006E3E9C" w:rsidRDefault="006E3E9C">
            <w:pPr>
              <w:jc w:val="both"/>
              <w:rPr>
                <w:b/>
                <w:sz w:val="20"/>
              </w:rPr>
            </w:pPr>
          </w:p>
        </w:tc>
        <w:tc>
          <w:tcPr>
            <w:tcW w:w="910" w:type="dxa"/>
            <w:tcBorders>
              <w:top w:val="single" w:sz="4" w:space="0" w:color="auto"/>
              <w:left w:val="single" w:sz="4" w:space="0" w:color="auto"/>
              <w:bottom w:val="single" w:sz="4" w:space="0" w:color="auto"/>
              <w:right w:val="single" w:sz="4" w:space="0" w:color="auto"/>
            </w:tcBorders>
            <w:shd w:val="clear" w:color="auto" w:fill="666666"/>
          </w:tcPr>
          <w:p w14:paraId="49518D21" w14:textId="77777777" w:rsidR="006E3E9C" w:rsidRDefault="006E3E9C">
            <w:pPr>
              <w:jc w:val="both"/>
              <w:rPr>
                <w:b/>
                <w:sz w:val="20"/>
              </w:rPr>
            </w:pPr>
          </w:p>
        </w:tc>
        <w:tc>
          <w:tcPr>
            <w:tcW w:w="507" w:type="dxa"/>
            <w:tcBorders>
              <w:top w:val="nil"/>
              <w:left w:val="single" w:sz="4" w:space="0" w:color="auto"/>
              <w:bottom w:val="nil"/>
              <w:right w:val="single" w:sz="4" w:space="0" w:color="auto"/>
            </w:tcBorders>
          </w:tcPr>
          <w:p w14:paraId="49518D22" w14:textId="77777777" w:rsidR="006E3E9C" w:rsidRDefault="006E3E9C">
            <w:pPr>
              <w:jc w:val="both"/>
              <w:rPr>
                <w:b/>
                <w:sz w:val="20"/>
              </w:rPr>
            </w:pPr>
          </w:p>
        </w:tc>
        <w:tc>
          <w:tcPr>
            <w:tcW w:w="921" w:type="dxa"/>
            <w:tcBorders>
              <w:top w:val="single" w:sz="4" w:space="0" w:color="auto"/>
              <w:left w:val="single" w:sz="4" w:space="0" w:color="auto"/>
              <w:bottom w:val="single" w:sz="4" w:space="0" w:color="auto"/>
              <w:right w:val="single" w:sz="4" w:space="0" w:color="auto"/>
            </w:tcBorders>
            <w:shd w:val="clear" w:color="auto" w:fill="999999"/>
          </w:tcPr>
          <w:p w14:paraId="49518D23" w14:textId="77777777" w:rsidR="006E3E9C" w:rsidRDefault="006E3E9C">
            <w:pPr>
              <w:jc w:val="both"/>
              <w:rPr>
                <w:b/>
                <w:sz w:val="20"/>
              </w:rPr>
            </w:pPr>
          </w:p>
        </w:tc>
        <w:tc>
          <w:tcPr>
            <w:tcW w:w="355" w:type="dxa"/>
            <w:tcBorders>
              <w:top w:val="nil"/>
              <w:left w:val="single" w:sz="4" w:space="0" w:color="auto"/>
              <w:bottom w:val="nil"/>
              <w:right w:val="single" w:sz="4" w:space="0" w:color="auto"/>
            </w:tcBorders>
          </w:tcPr>
          <w:p w14:paraId="49518D24" w14:textId="77777777" w:rsidR="006E3E9C" w:rsidRDefault="006E3E9C">
            <w:pPr>
              <w:jc w:val="both"/>
              <w:rPr>
                <w:b/>
                <w:sz w:val="20"/>
              </w:rPr>
            </w:pPr>
          </w:p>
        </w:tc>
        <w:tc>
          <w:tcPr>
            <w:tcW w:w="1074" w:type="dxa"/>
            <w:tcBorders>
              <w:top w:val="single" w:sz="4" w:space="0" w:color="auto"/>
              <w:left w:val="single" w:sz="4" w:space="0" w:color="auto"/>
              <w:bottom w:val="single" w:sz="4" w:space="0" w:color="auto"/>
              <w:right w:val="single" w:sz="4" w:space="0" w:color="auto"/>
            </w:tcBorders>
            <w:shd w:val="clear" w:color="auto" w:fill="CCCCCC"/>
          </w:tcPr>
          <w:p w14:paraId="49518D25" w14:textId="77777777" w:rsidR="006E3E9C" w:rsidRDefault="006E3E9C">
            <w:pPr>
              <w:jc w:val="both"/>
              <w:rPr>
                <w:b/>
                <w:sz w:val="20"/>
              </w:rPr>
            </w:pPr>
          </w:p>
        </w:tc>
        <w:tc>
          <w:tcPr>
            <w:tcW w:w="344" w:type="dxa"/>
            <w:tcBorders>
              <w:top w:val="nil"/>
              <w:left w:val="single" w:sz="4" w:space="0" w:color="auto"/>
              <w:bottom w:val="nil"/>
              <w:right w:val="single" w:sz="4" w:space="0" w:color="auto"/>
            </w:tcBorders>
          </w:tcPr>
          <w:p w14:paraId="49518D26" w14:textId="77777777" w:rsidR="006E3E9C" w:rsidRDefault="006E3E9C">
            <w:pPr>
              <w:jc w:val="both"/>
              <w:rPr>
                <w:b/>
                <w:sz w:val="20"/>
              </w:rPr>
            </w:pPr>
          </w:p>
        </w:tc>
        <w:tc>
          <w:tcPr>
            <w:tcW w:w="1086" w:type="dxa"/>
            <w:tcBorders>
              <w:top w:val="single" w:sz="4" w:space="0" w:color="auto"/>
              <w:left w:val="single" w:sz="4" w:space="0" w:color="auto"/>
              <w:bottom w:val="single" w:sz="4" w:space="0" w:color="auto"/>
              <w:right w:val="single" w:sz="4" w:space="0" w:color="auto"/>
            </w:tcBorders>
            <w:shd w:val="clear" w:color="auto" w:fill="F3F3F3"/>
          </w:tcPr>
          <w:p w14:paraId="49518D27" w14:textId="77777777" w:rsidR="006E3E9C" w:rsidRDefault="006E3E9C">
            <w:pPr>
              <w:jc w:val="both"/>
              <w:rPr>
                <w:b/>
                <w:sz w:val="20"/>
              </w:rPr>
            </w:pPr>
          </w:p>
        </w:tc>
        <w:tc>
          <w:tcPr>
            <w:tcW w:w="331" w:type="dxa"/>
            <w:tcBorders>
              <w:top w:val="nil"/>
              <w:left w:val="single" w:sz="4" w:space="0" w:color="auto"/>
              <w:bottom w:val="nil"/>
              <w:right w:val="single" w:sz="4" w:space="0" w:color="auto"/>
            </w:tcBorders>
          </w:tcPr>
          <w:p w14:paraId="49518D28" w14:textId="77777777" w:rsidR="006E3E9C" w:rsidRDefault="006E3E9C">
            <w:pPr>
              <w:jc w:val="both"/>
              <w:rPr>
                <w:b/>
                <w:sz w:val="20"/>
              </w:rPr>
            </w:pPr>
          </w:p>
        </w:tc>
        <w:tc>
          <w:tcPr>
            <w:tcW w:w="1099" w:type="dxa"/>
            <w:tcBorders>
              <w:top w:val="single" w:sz="4" w:space="0" w:color="auto"/>
              <w:left w:val="single" w:sz="4" w:space="0" w:color="auto"/>
              <w:bottom w:val="single" w:sz="4" w:space="0" w:color="auto"/>
              <w:right w:val="single" w:sz="4" w:space="0" w:color="auto"/>
            </w:tcBorders>
          </w:tcPr>
          <w:p w14:paraId="49518D29" w14:textId="77777777" w:rsidR="006E3E9C" w:rsidRDefault="006E3E9C">
            <w:pPr>
              <w:jc w:val="both"/>
              <w:rPr>
                <w:b/>
                <w:sz w:val="20"/>
              </w:rPr>
            </w:pPr>
          </w:p>
        </w:tc>
      </w:tr>
    </w:tbl>
    <w:p w14:paraId="49518D2B" w14:textId="64D427EE" w:rsidR="006E3E9C" w:rsidRDefault="006E3E9C">
      <w:pPr>
        <w:tabs>
          <w:tab w:val="left" w:pos="817"/>
          <w:tab w:val="left" w:pos="1242"/>
          <w:tab w:val="left" w:pos="2235"/>
          <w:tab w:val="left" w:pos="2660"/>
          <w:tab w:val="left" w:pos="3570"/>
          <w:tab w:val="left" w:pos="4077"/>
          <w:tab w:val="left" w:pos="4998"/>
          <w:tab w:val="left" w:pos="5353"/>
          <w:tab w:val="left" w:pos="6427"/>
          <w:tab w:val="left" w:pos="6771"/>
          <w:tab w:val="left" w:pos="7857"/>
          <w:tab w:val="left" w:pos="8188"/>
        </w:tabs>
        <w:ind w:firstLine="709"/>
        <w:rPr>
          <w:b/>
        </w:rPr>
      </w:pPr>
    </w:p>
    <w:tbl>
      <w:tblPr>
        <w:tblW w:w="9637" w:type="dxa"/>
        <w:tblLayout w:type="fixed"/>
        <w:tblLook w:val="01E0" w:firstRow="1" w:lastRow="1" w:firstColumn="1" w:lastColumn="1" w:noHBand="0" w:noVBand="0"/>
      </w:tblPr>
      <w:tblGrid>
        <w:gridCol w:w="1084"/>
        <w:gridCol w:w="353"/>
        <w:gridCol w:w="1026"/>
        <w:gridCol w:w="417"/>
        <w:gridCol w:w="886"/>
        <w:gridCol w:w="492"/>
        <w:gridCol w:w="897"/>
        <w:gridCol w:w="548"/>
        <w:gridCol w:w="882"/>
        <w:gridCol w:w="588"/>
        <w:gridCol w:w="883"/>
        <w:gridCol w:w="441"/>
        <w:gridCol w:w="1140"/>
      </w:tblGrid>
      <w:tr w:rsidR="006E3E9C" w14:paraId="49518D3C" w14:textId="77777777">
        <w:tc>
          <w:tcPr>
            <w:tcW w:w="1044" w:type="dxa"/>
          </w:tcPr>
          <w:p w14:paraId="49518D2C" w14:textId="0DFCF48D" w:rsidR="006E3E9C" w:rsidRDefault="00722646">
            <w:pPr>
              <w:jc w:val="both"/>
              <w:rPr>
                <w:sz w:val="20"/>
              </w:rPr>
            </w:pPr>
            <w:r>
              <w:rPr>
                <w:sz w:val="20"/>
              </w:rPr>
              <w:t>100 %</w:t>
            </w:r>
          </w:p>
          <w:p w14:paraId="49518D2D" w14:textId="77777777" w:rsidR="006E3E9C" w:rsidRDefault="00722646">
            <w:pPr>
              <w:jc w:val="both"/>
              <w:rPr>
                <w:b/>
                <w:sz w:val="20"/>
              </w:rPr>
            </w:pPr>
            <w:r>
              <w:rPr>
                <w:b/>
                <w:sz w:val="20"/>
              </w:rPr>
              <w:t>Grynas</w:t>
            </w:r>
          </w:p>
          <w:p w14:paraId="49518D2E" w14:textId="77777777" w:rsidR="006E3E9C" w:rsidRDefault="00722646">
            <w:pPr>
              <w:jc w:val="both"/>
              <w:rPr>
                <w:sz w:val="20"/>
              </w:rPr>
            </w:pPr>
            <w:r>
              <w:rPr>
                <w:b/>
                <w:sz w:val="20"/>
              </w:rPr>
              <w:t>žymėtas kuras</w:t>
            </w:r>
          </w:p>
        </w:tc>
        <w:tc>
          <w:tcPr>
            <w:tcW w:w="340" w:type="dxa"/>
          </w:tcPr>
          <w:p w14:paraId="49518D2F" w14:textId="77777777" w:rsidR="006E3E9C" w:rsidRDefault="006E3E9C">
            <w:pPr>
              <w:jc w:val="both"/>
              <w:rPr>
                <w:sz w:val="20"/>
              </w:rPr>
            </w:pPr>
          </w:p>
        </w:tc>
        <w:tc>
          <w:tcPr>
            <w:tcW w:w="989" w:type="dxa"/>
          </w:tcPr>
          <w:p w14:paraId="49518D30" w14:textId="77777777" w:rsidR="006E3E9C" w:rsidRDefault="00722646">
            <w:pPr>
              <w:jc w:val="both"/>
              <w:rPr>
                <w:sz w:val="20"/>
              </w:rPr>
            </w:pPr>
            <w:r>
              <w:rPr>
                <w:sz w:val="20"/>
              </w:rPr>
              <w:t>80 %</w:t>
            </w:r>
          </w:p>
        </w:tc>
        <w:tc>
          <w:tcPr>
            <w:tcW w:w="402" w:type="dxa"/>
          </w:tcPr>
          <w:p w14:paraId="49518D31" w14:textId="77777777" w:rsidR="006E3E9C" w:rsidRDefault="006E3E9C">
            <w:pPr>
              <w:jc w:val="both"/>
              <w:rPr>
                <w:sz w:val="20"/>
              </w:rPr>
            </w:pPr>
          </w:p>
        </w:tc>
        <w:tc>
          <w:tcPr>
            <w:tcW w:w="854" w:type="dxa"/>
          </w:tcPr>
          <w:p w14:paraId="49518D32" w14:textId="77777777" w:rsidR="006E3E9C" w:rsidRDefault="00722646">
            <w:pPr>
              <w:jc w:val="both"/>
              <w:rPr>
                <w:sz w:val="20"/>
              </w:rPr>
            </w:pPr>
            <w:r>
              <w:rPr>
                <w:sz w:val="20"/>
              </w:rPr>
              <w:t>60 %</w:t>
            </w:r>
          </w:p>
        </w:tc>
        <w:tc>
          <w:tcPr>
            <w:tcW w:w="474" w:type="dxa"/>
          </w:tcPr>
          <w:p w14:paraId="49518D33" w14:textId="77777777" w:rsidR="006E3E9C" w:rsidRDefault="006E3E9C">
            <w:pPr>
              <w:jc w:val="both"/>
              <w:rPr>
                <w:sz w:val="20"/>
              </w:rPr>
            </w:pPr>
          </w:p>
        </w:tc>
        <w:tc>
          <w:tcPr>
            <w:tcW w:w="864" w:type="dxa"/>
          </w:tcPr>
          <w:p w14:paraId="49518D34" w14:textId="77777777" w:rsidR="006E3E9C" w:rsidRDefault="00722646">
            <w:pPr>
              <w:jc w:val="both"/>
              <w:rPr>
                <w:sz w:val="20"/>
              </w:rPr>
            </w:pPr>
            <w:r>
              <w:rPr>
                <w:sz w:val="20"/>
              </w:rPr>
              <w:t>40 %</w:t>
            </w:r>
          </w:p>
        </w:tc>
        <w:tc>
          <w:tcPr>
            <w:tcW w:w="528" w:type="dxa"/>
          </w:tcPr>
          <w:p w14:paraId="49518D35" w14:textId="77777777" w:rsidR="006E3E9C" w:rsidRDefault="006E3E9C">
            <w:pPr>
              <w:jc w:val="both"/>
              <w:rPr>
                <w:sz w:val="20"/>
              </w:rPr>
            </w:pPr>
          </w:p>
        </w:tc>
        <w:tc>
          <w:tcPr>
            <w:tcW w:w="850" w:type="dxa"/>
          </w:tcPr>
          <w:p w14:paraId="49518D36" w14:textId="77777777" w:rsidR="006E3E9C" w:rsidRDefault="00722646">
            <w:pPr>
              <w:jc w:val="both"/>
              <w:rPr>
                <w:sz w:val="20"/>
              </w:rPr>
            </w:pPr>
            <w:r>
              <w:rPr>
                <w:sz w:val="20"/>
              </w:rPr>
              <w:t>20 %</w:t>
            </w:r>
          </w:p>
        </w:tc>
        <w:tc>
          <w:tcPr>
            <w:tcW w:w="567" w:type="dxa"/>
          </w:tcPr>
          <w:p w14:paraId="49518D37" w14:textId="77777777" w:rsidR="006E3E9C" w:rsidRDefault="006E3E9C">
            <w:pPr>
              <w:jc w:val="both"/>
              <w:rPr>
                <w:sz w:val="20"/>
              </w:rPr>
            </w:pPr>
          </w:p>
        </w:tc>
        <w:tc>
          <w:tcPr>
            <w:tcW w:w="851" w:type="dxa"/>
          </w:tcPr>
          <w:p w14:paraId="49518D38" w14:textId="77777777" w:rsidR="006E3E9C" w:rsidRDefault="00722646">
            <w:pPr>
              <w:jc w:val="both"/>
              <w:rPr>
                <w:sz w:val="20"/>
              </w:rPr>
            </w:pPr>
            <w:r>
              <w:rPr>
                <w:sz w:val="20"/>
              </w:rPr>
              <w:t>10 %</w:t>
            </w:r>
          </w:p>
        </w:tc>
        <w:tc>
          <w:tcPr>
            <w:tcW w:w="425" w:type="dxa"/>
          </w:tcPr>
          <w:p w14:paraId="49518D39" w14:textId="77777777" w:rsidR="006E3E9C" w:rsidRDefault="006E3E9C">
            <w:pPr>
              <w:jc w:val="both"/>
              <w:rPr>
                <w:sz w:val="20"/>
              </w:rPr>
            </w:pPr>
          </w:p>
        </w:tc>
        <w:tc>
          <w:tcPr>
            <w:tcW w:w="1099" w:type="dxa"/>
          </w:tcPr>
          <w:p w14:paraId="49518D3A" w14:textId="77777777" w:rsidR="006E3E9C" w:rsidRDefault="00722646">
            <w:pPr>
              <w:jc w:val="both"/>
              <w:rPr>
                <w:b/>
                <w:sz w:val="20"/>
              </w:rPr>
            </w:pPr>
            <w:r>
              <w:rPr>
                <w:sz w:val="20"/>
              </w:rPr>
              <w:t>0 %</w:t>
            </w:r>
            <w:r>
              <w:rPr>
                <w:b/>
                <w:sz w:val="20"/>
              </w:rPr>
              <w:t xml:space="preserve"> </w:t>
            </w:r>
          </w:p>
          <w:p w14:paraId="49518D3B" w14:textId="03E547B7" w:rsidR="006E3E9C" w:rsidRDefault="00722646">
            <w:pPr>
              <w:jc w:val="both"/>
              <w:rPr>
                <w:sz w:val="20"/>
              </w:rPr>
            </w:pPr>
            <w:r>
              <w:rPr>
                <w:b/>
                <w:sz w:val="20"/>
              </w:rPr>
              <w:t xml:space="preserve">Nežymėtas </w:t>
            </w:r>
            <w:proofErr w:type="spellStart"/>
            <w:r>
              <w:rPr>
                <w:b/>
                <w:sz w:val="20"/>
              </w:rPr>
              <w:t>dyzelinas</w:t>
            </w:r>
            <w:proofErr w:type="spellEnd"/>
          </w:p>
        </w:tc>
      </w:tr>
    </w:tbl>
    <w:p w14:paraId="49518D40" w14:textId="6335E79F" w:rsidR="006E3E9C" w:rsidRDefault="00722646" w:rsidP="00722646">
      <w:pPr>
        <w:jc w:val="center"/>
      </w:pPr>
      <w:r>
        <w:t>______________</w:t>
      </w:r>
    </w:p>
    <w:bookmarkEnd w:id="0" w:displacedByCustomXml="next"/>
    <w:sectPr w:rsidR="006E3E9C">
      <w:headerReference w:type="even" r:id="rId17"/>
      <w:headerReference w:type="default" r:id="rId18"/>
      <w:footerReference w:type="even" r:id="rId19"/>
      <w:footerReference w:type="default" r:id="rId20"/>
      <w:headerReference w:type="first" r:id="rId21"/>
      <w:footerReference w:type="first" r:id="rId22"/>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18D44" w14:textId="77777777" w:rsidR="006E3E9C" w:rsidRDefault="00722646">
      <w:r>
        <w:separator/>
      </w:r>
    </w:p>
  </w:endnote>
  <w:endnote w:type="continuationSeparator" w:id="0">
    <w:p w14:paraId="49518D45" w14:textId="77777777" w:rsidR="006E3E9C" w:rsidRDefault="0072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18D4A" w14:textId="77777777" w:rsidR="006E3E9C" w:rsidRDefault="006E3E9C">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18D4B" w14:textId="77777777" w:rsidR="006E3E9C" w:rsidRDefault="006E3E9C">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18D4D" w14:textId="77777777" w:rsidR="006E3E9C" w:rsidRDefault="006E3E9C">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18D42" w14:textId="77777777" w:rsidR="006E3E9C" w:rsidRDefault="00722646">
      <w:r>
        <w:separator/>
      </w:r>
    </w:p>
  </w:footnote>
  <w:footnote w:type="continuationSeparator" w:id="0">
    <w:p w14:paraId="49518D43" w14:textId="77777777" w:rsidR="006E3E9C" w:rsidRDefault="00722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18D46" w14:textId="77777777" w:rsidR="006E3E9C" w:rsidRDefault="0072264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49518D47" w14:textId="77777777" w:rsidR="006E3E9C" w:rsidRDefault="006E3E9C">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18D48" w14:textId="77777777" w:rsidR="006E3E9C" w:rsidRDefault="0072264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11</w:t>
    </w:r>
    <w:r>
      <w:rPr>
        <w:lang w:val="en-GB"/>
      </w:rPr>
      <w:fldChar w:fldCharType="end"/>
    </w:r>
  </w:p>
  <w:p w14:paraId="49518D49" w14:textId="77777777" w:rsidR="006E3E9C" w:rsidRDefault="006E3E9C">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18D4C" w14:textId="77777777" w:rsidR="006E3E9C" w:rsidRDefault="006E3E9C">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763"/>
    <w:rsid w:val="00151763"/>
    <w:rsid w:val="006E3E9C"/>
    <w:rsid w:val="0072264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9518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2264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226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837333">
      <w:bodyDiv w:val="1"/>
      <w:marLeft w:val="0"/>
      <w:marRight w:val="0"/>
      <w:marTop w:val="0"/>
      <w:marBottom w:val="0"/>
      <w:divBdr>
        <w:top w:val="none" w:sz="0" w:space="0" w:color="auto"/>
        <w:left w:val="none" w:sz="0" w:space="0" w:color="auto"/>
        <w:bottom w:val="none" w:sz="0" w:space="0" w:color="auto"/>
        <w:right w:val="none" w:sz="0" w:space="0" w:color="auto"/>
      </w:divBdr>
    </w:div>
    <w:div w:id="209979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402DB382340D"/>
  <Relationship Id="rId11" Type="http://schemas.openxmlformats.org/officeDocument/2006/relationships/hyperlink" TargetMode="External" Target="https://www.e-tar.lt/portal/lt/legalAct/TAR.66C3F0D8E3EA"/>
  <Relationship Id="rId12" Type="http://schemas.openxmlformats.org/officeDocument/2006/relationships/hyperlink" TargetMode="External" Target="https://www.e-tar.lt/portal/lt/legalAct/TAR.91E003F6C7F3"/>
  <Relationship Id="rId13" Type="http://schemas.openxmlformats.org/officeDocument/2006/relationships/hyperlink" TargetMode="External" Target="https://www.e-tar.lt/portal/lt/legalAct/TAR.D82A343B4EE0"/>
  <Relationship Id="rId14" Type="http://schemas.openxmlformats.org/officeDocument/2006/relationships/hyperlink" TargetMode="External" Target="https://www.e-tar.lt/portal/lt/legalAct/TAR.955FE597E0AA"/>
  <Relationship Id="rId15" Type="http://schemas.openxmlformats.org/officeDocument/2006/relationships/hyperlink" TargetMode="External" Target="https://www.e-tar.lt/portal/lt/legalAct/TAR.33C61E83111B"/>
  <Relationship Id="rId16" Type="http://schemas.openxmlformats.org/officeDocument/2006/relationships/hyperlink" TargetMode="External" Target="https://www.e-tar.lt/portal/lt/legalAct/TAR.6C184039344C"/>
  <Relationship Id="rId17" Type="http://schemas.openxmlformats.org/officeDocument/2006/relationships/header" Target="header1.xml"/>
  <Relationship Id="rId18" Type="http://schemas.openxmlformats.org/officeDocument/2006/relationships/header" Target="header2.xml"/>
  <Relationship Id="rId19" Type="http://schemas.openxmlformats.org/officeDocument/2006/relationships/footer" Target="footer1.xml"/>
  <Relationship Id="rId2" Type="http://schemas.openxmlformats.org/officeDocument/2006/relationships/styles" Target="styles.xml"/>
  <Relationship Id="rId20" Type="http://schemas.openxmlformats.org/officeDocument/2006/relationships/footer" Target="footer2.xml"/>
  <Relationship Id="rId21" Type="http://schemas.openxmlformats.org/officeDocument/2006/relationships/header" Target="header3.xml"/>
  <Relationship Id="rId22" Type="http://schemas.openxmlformats.org/officeDocument/2006/relationships/footer" Target="footer3.xml"/>
  <Relationship Id="rId23" Type="http://schemas.openxmlformats.org/officeDocument/2006/relationships/fontTable" Target="fontTable.xml"/>
  <Relationship Id="rId24" Type="http://schemas.openxmlformats.org/officeDocument/2006/relationships/glossaryDocument" Target="glossary/document.xml"/>
  <Relationship Id="rId25"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BFC"/>
    <w:rsid w:val="003A6B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A6BF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A6B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14283</Words>
  <Characters>8142</Characters>
  <Application>Microsoft Office Word</Application>
  <DocSecurity>0</DocSecurity>
  <Lines>67</Lines>
  <Paragraphs>44</Paragraphs>
  <ScaleCrop>false</ScaleCrop>
  <Company/>
  <LinksUpToDate>false</LinksUpToDate>
  <CharactersWithSpaces>22381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2015-09-06T21:26:00Z</dcterms:created>
  <dc:creator>User</dc:creator>
  <lastModifiedBy>GUMBYTĖ Danguolė</lastModifiedBy>
  <dcterms:modified xsi:type="dcterms:W3CDTF">2017-02-23T08:43:00Z</dcterms:modified>
  <revision>3</revision>
</coreProperties>
</file>