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CE8C8" w14:textId="77777777" w:rsidR="00475193" w:rsidRDefault="00475193">
      <w:pPr>
        <w:tabs>
          <w:tab w:val="center" w:pos="4153"/>
          <w:tab w:val="right" w:pos="8306"/>
        </w:tabs>
        <w:rPr>
          <w:lang w:val="en-GB"/>
        </w:rPr>
      </w:pPr>
    </w:p>
    <w:p w14:paraId="4F4CE8C9" w14:textId="77777777" w:rsidR="00475193" w:rsidRDefault="00285A62">
      <w:pPr>
        <w:widowControl w:val="0"/>
        <w:jc w:val="center"/>
        <w:rPr>
          <w:caps/>
        </w:rPr>
      </w:pPr>
      <w:r>
        <w:rPr>
          <w:caps/>
          <w:lang w:val="en-US"/>
        </w:rPr>
        <w:pict w14:anchorId="4F4CE8FF">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4F4CE8CA" w14:textId="77777777" w:rsidR="00475193" w:rsidRDefault="00285A62">
      <w:pPr>
        <w:widowControl w:val="0"/>
        <w:jc w:val="center"/>
        <w:rPr>
          <w:caps/>
          <w:spacing w:val="60"/>
        </w:rPr>
      </w:pPr>
      <w:r>
        <w:rPr>
          <w:caps/>
          <w:spacing w:val="60"/>
        </w:rPr>
        <w:t>NUTARIMAS</w:t>
      </w:r>
    </w:p>
    <w:p w14:paraId="4F4CE8CB" w14:textId="77777777" w:rsidR="00475193" w:rsidRDefault="00475193">
      <w:pPr>
        <w:widowControl w:val="0"/>
        <w:jc w:val="center"/>
        <w:outlineLvl w:val="1"/>
        <w:rPr>
          <w:caps/>
        </w:rPr>
      </w:pPr>
    </w:p>
    <w:p w14:paraId="4F4CE8CC" w14:textId="77777777" w:rsidR="00475193" w:rsidRDefault="00285A62">
      <w:pPr>
        <w:jc w:val="center"/>
        <w:rPr>
          <w:b/>
          <w:caps/>
        </w:rPr>
      </w:pPr>
      <w:r>
        <w:rPr>
          <w:b/>
          <w:caps/>
        </w:rPr>
        <w:t xml:space="preserve">DĖL </w:t>
      </w:r>
      <w:r>
        <w:rPr>
          <w:b/>
        </w:rPr>
        <w:t>LIETUVOS RESPUBLIKOS VYRIAUSYBĖS 2006 M. SPALIO 10 D. NUTARIMO NR. 978 „DĖL SOCIALINIŲ PASLAUGŲ FINANSAVIMO IR LĖŠŲ APSKAIČIAVIMO METODIKOS PATVIRTINIMO“ PAKEITIMO</w:t>
      </w:r>
    </w:p>
    <w:p w14:paraId="4F4CE8CD" w14:textId="77777777" w:rsidR="00475193" w:rsidRDefault="00475193"/>
    <w:p w14:paraId="4F4CE8CE" w14:textId="77777777" w:rsidR="00475193" w:rsidRDefault="00285A62">
      <w:pPr>
        <w:jc w:val="center"/>
      </w:pPr>
      <w:r>
        <w:t>2010 m. b</w:t>
      </w:r>
      <w:r>
        <w:t>irželio 2 d. Nr. 682</w:t>
      </w:r>
    </w:p>
    <w:p w14:paraId="4F4CE8CF" w14:textId="77777777" w:rsidR="00475193" w:rsidRDefault="00285A62">
      <w:pPr>
        <w:jc w:val="center"/>
      </w:pPr>
      <w:r>
        <w:t>Vilnius</w:t>
      </w:r>
    </w:p>
    <w:p w14:paraId="4F4CE8D0" w14:textId="77777777" w:rsidR="00475193" w:rsidRDefault="00475193">
      <w:pPr>
        <w:jc w:val="center"/>
      </w:pPr>
    </w:p>
    <w:p w14:paraId="4F4CE8D1" w14:textId="77777777" w:rsidR="00475193" w:rsidRDefault="00285A62">
      <w:pPr>
        <w:ind w:firstLine="567"/>
        <w:jc w:val="both"/>
      </w:pPr>
      <w:r>
        <w:t>Lietuvos Respublikos Vyriausybė</w:t>
      </w:r>
      <w:r>
        <w:rPr>
          <w:spacing w:val="80"/>
        </w:rPr>
        <w:t xml:space="preserve"> </w:t>
      </w:r>
      <w:r>
        <w:rPr>
          <w:spacing w:val="60"/>
        </w:rPr>
        <w:t>nutari</w:t>
      </w:r>
      <w:r>
        <w:t>a:</w:t>
      </w:r>
    </w:p>
    <w:p w14:paraId="4F4CE8D2" w14:textId="77777777" w:rsidR="00475193" w:rsidRDefault="00285A62">
      <w:pPr>
        <w:ind w:firstLine="567"/>
        <w:jc w:val="both"/>
      </w:pPr>
      <w:r>
        <w:t>1</w:t>
      </w:r>
      <w:r>
        <w:t>. Pakeisti Socialinių paslaugų finansavimo ir lėšų apskaičiavimo metodiką, patvirtintą Lietuvos Respublikos Vyriausybės 2006 m. spalio 10 d. nutarimu Nr. 978 „Dėl Socialinių paslau</w:t>
      </w:r>
      <w:r>
        <w:t xml:space="preserve">gų finansavimo ir lėšų apskaičiavimo metodikos patvirtinimo“ (Žin., 2006, Nr. </w:t>
      </w:r>
      <w:hyperlink r:id="rId10" w:tgtFrame="_blank" w:history="1">
        <w:r>
          <w:rPr>
            <w:color w:val="0000FF" w:themeColor="hyperlink"/>
            <w:u w:val="single"/>
          </w:rPr>
          <w:t>110-4163</w:t>
        </w:r>
      </w:hyperlink>
      <w:r>
        <w:t xml:space="preserve">; 2007, Nr. </w:t>
      </w:r>
      <w:hyperlink r:id="rId11" w:tgtFrame="_blank" w:history="1">
        <w:r>
          <w:rPr>
            <w:color w:val="0000FF" w:themeColor="hyperlink"/>
            <w:u w:val="single"/>
          </w:rPr>
          <w:t>80-3247</w:t>
        </w:r>
      </w:hyperlink>
      <w:r>
        <w:t xml:space="preserve">; 2009, Nr. </w:t>
      </w:r>
      <w:hyperlink r:id="rId12" w:tgtFrame="_blank" w:history="1">
        <w:r>
          <w:rPr>
            <w:color w:val="0000FF" w:themeColor="hyperlink"/>
            <w:u w:val="single"/>
          </w:rPr>
          <w:t>90-3869</w:t>
        </w:r>
      </w:hyperlink>
      <w:r>
        <w:t>):</w:t>
      </w:r>
    </w:p>
    <w:p w14:paraId="4F4CE8D3" w14:textId="77777777" w:rsidR="00475193" w:rsidRDefault="00285A62">
      <w:pPr>
        <w:ind w:firstLine="567"/>
        <w:jc w:val="both"/>
      </w:pPr>
      <w:r>
        <w:t>1.1</w:t>
      </w:r>
      <w:r>
        <w:t>. Išdėstyti 19 punktą taip:</w:t>
      </w:r>
    </w:p>
    <w:p w14:paraId="4F4CE8D4" w14:textId="77777777" w:rsidR="00475193" w:rsidRDefault="00285A62">
      <w:pPr>
        <w:ind w:firstLine="567"/>
        <w:jc w:val="both"/>
      </w:pPr>
      <w:r>
        <w:t>„</w:t>
      </w:r>
      <w:r>
        <w:t>19</w:t>
      </w:r>
      <w:r>
        <w:t>. Globos (rūpybos) išmoka vaikui, kuriam nustatytas trumpalaikės arba ilgalaikės socialinės globos poreikis, i</w:t>
      </w:r>
      <w:r>
        <w:t>šskyrus atvejus, kai vaiko globa (rūpyba) nustatyta šeimynoje, pirmiausia naudojama šios Metodikos 27.2–27.6 punktuose nurodytoms išlaidoms, o paskui – šios Metodikos 25.4 punkte nurodytoms išlaidoms apmokėti.</w:t>
      </w:r>
    </w:p>
    <w:p w14:paraId="4F4CE8D5" w14:textId="77777777" w:rsidR="00475193" w:rsidRDefault="00285A62">
      <w:pPr>
        <w:ind w:firstLine="567"/>
        <w:jc w:val="both"/>
      </w:pPr>
      <w:r>
        <w:t>Globos (rūpybos) išmoka vaikui, kuriam nustaty</w:t>
      </w:r>
      <w:r>
        <w:t>tas trumpalaikės arba ilgalaikės socialinės globos poreikis šeimynoje, pirmiausia naudojama šios Metodikos 27.2–27.6 punktuose nurodytoms išlaidoms, o paskui – šios Metodikos 25.4 ir 27.1 punktuose nurodytoms išlaidoms bei šeimynos dalyvių socialinio draud</w:t>
      </w:r>
      <w:r>
        <w:t>imo ir sveikatos draudimo įmokoms apmokėti. Šios Metodikos 27.1 punkte nurodytoms išlaidoms ir šeimynos dalyvių socialinio draudimo ir sveikatos draudimo įmokoms apmokėti gali būti naudojama ne daugiau 50 procentų visos globos (rūpybos) išmokos vaikui.“</w:t>
      </w:r>
    </w:p>
    <w:p w14:paraId="4F4CE8D6" w14:textId="77777777" w:rsidR="00475193" w:rsidRDefault="00285A62">
      <w:pPr>
        <w:ind w:firstLine="567"/>
      </w:pPr>
      <w:r>
        <w:t>1.2</w:t>
      </w:r>
      <w:r>
        <w:t>. Papildyti šiuo 19</w:t>
      </w:r>
      <w:r>
        <w:rPr>
          <w:vertAlign w:val="superscript"/>
        </w:rPr>
        <w:t xml:space="preserve">1 </w:t>
      </w:r>
      <w:r>
        <w:t xml:space="preserve">punktu: </w:t>
      </w:r>
    </w:p>
    <w:p w14:paraId="4F4CE8D7" w14:textId="77777777" w:rsidR="00475193" w:rsidRDefault="00285A62">
      <w:pPr>
        <w:ind w:firstLine="567"/>
        <w:jc w:val="both"/>
      </w:pPr>
      <w:r>
        <w:t>„</w:t>
      </w:r>
      <w:r>
        <w:t>19</w:t>
      </w:r>
      <w:r>
        <w:rPr>
          <w:vertAlign w:val="superscript"/>
        </w:rPr>
        <w:t>1</w:t>
      </w:r>
      <w:r>
        <w:t>. Šeimynos dalyvių išlaikymo pajamų, finansuojamų iš savivaldybių biudžetų lėšų, dydis priklauso nuo šeimynoje globojamų (rūpinamų) vaikų skaičiaus. Kai šeimyna globoja (rūpinasi) 6 arba mažiau vaikų, šeimynos dalyvio išlaikymo pajamos sudaro 70 procentų L</w:t>
      </w:r>
      <w:r>
        <w:t>ietuvos Respublikos Vyriausybės tvirtinamų einamųjų metų draudžiamųjų pajamų; kai 7 vaikus, – 75 procentus; kai 8, – 80 procentų; kai 9, – 85 procentus; kai 10, – 90 procentų; kai 11, – 95 procentus; kai 12 arba daugiau (kai neišskiriami broliai ir seserys</w:t>
      </w:r>
      <w:r>
        <w:t xml:space="preserve">), – 100 procentų. Šeimynos dalyvio išlaikymo pajamos negali būti mažesnės negu minimalioji mėnesinė alga.“ </w:t>
      </w:r>
    </w:p>
    <w:p w14:paraId="4F4CE8D8" w14:textId="77777777" w:rsidR="00475193" w:rsidRDefault="00285A62">
      <w:pPr>
        <w:ind w:firstLine="567"/>
        <w:jc w:val="both"/>
      </w:pPr>
      <w:r>
        <w:t>1.3</w:t>
      </w:r>
      <w:r>
        <w:t>. Išdėstyti 20 punktą taip:</w:t>
      </w:r>
    </w:p>
    <w:p w14:paraId="4F4CE8D9" w14:textId="77777777" w:rsidR="00475193" w:rsidRDefault="00285A62">
      <w:pPr>
        <w:ind w:firstLine="567"/>
        <w:jc w:val="both"/>
      </w:pPr>
      <w:r>
        <w:t>„</w:t>
      </w:r>
      <w:r>
        <w:t>20</w:t>
      </w:r>
      <w:r>
        <w:t>. Perkamų (parduodamų) ar finansuojamų bendrųjų socialinių paslaugų ir socialinės priežiūros kainą savi</w:t>
      </w:r>
      <w:r>
        <w:t>valdybės ir socialinių paslaugų įstaigos nustato derindamos ją su savininko teises ir pareigas įgyvendinančia institucija ar socialinės globos įstaigos dalininkais (savininkais)</w:t>
      </w:r>
      <w:r>
        <w:rPr>
          <w:b/>
        </w:rPr>
        <w:t xml:space="preserve"> </w:t>
      </w:r>
      <w:r>
        <w:t>ir atsižvelgdamos į bendrųjų socialinių paslaugų ir socialinės priežiūros orga</w:t>
      </w:r>
      <w:r>
        <w:t>nizavimo išlaidas, socialinių paslaugų teikimo savivaldybės teritorijoje ypatumus ir šių išlaidų efektyvų panaudojimą.“</w:t>
      </w:r>
    </w:p>
    <w:p w14:paraId="4F4CE8DA" w14:textId="77777777" w:rsidR="00475193" w:rsidRDefault="00285A62">
      <w:pPr>
        <w:ind w:firstLine="567"/>
        <w:jc w:val="both"/>
        <w:rPr>
          <w:color w:val="000000"/>
        </w:rPr>
      </w:pPr>
      <w:r>
        <w:rPr>
          <w:color w:val="000000"/>
        </w:rPr>
        <w:t>1.4</w:t>
      </w:r>
      <w:r>
        <w:rPr>
          <w:color w:val="000000"/>
        </w:rPr>
        <w:t>. Išdėstyti 21 punktą taip:</w:t>
      </w:r>
    </w:p>
    <w:p w14:paraId="4F4CE8DB" w14:textId="77777777" w:rsidR="00475193" w:rsidRDefault="00285A62">
      <w:pPr>
        <w:ind w:firstLine="567"/>
        <w:jc w:val="both"/>
      </w:pPr>
      <w:r>
        <w:t>„</w:t>
      </w:r>
      <w:r>
        <w:t>21</w:t>
      </w:r>
      <w:r>
        <w:t xml:space="preserve">. Socialinės globos kainą socialinės globos įstaigos, išskyrus šeimynas, nustato pagal šios </w:t>
      </w:r>
      <w:r>
        <w:t>Metodikos 22 punkte nurodytas lėšų dalis, derindamos ją su savininko teises ir pareigas įgyvendinančia institucija ar socialinės globos įstaigos dalininkais (savininkais), su socialinę globą perkančiomis ar finansuojančiomis savivaldybėmis ir atsižvelgdamo</w:t>
      </w:r>
      <w:r>
        <w:t xml:space="preserve">s į socialinės globos organizavimo išlaidas ir šių išlaidų efektyvų panaudojimą.“ </w:t>
      </w:r>
    </w:p>
    <w:p w14:paraId="4F4CE8DC" w14:textId="77777777" w:rsidR="00475193" w:rsidRDefault="00285A62">
      <w:pPr>
        <w:ind w:firstLine="567"/>
      </w:pPr>
      <w:r>
        <w:t>1.5</w:t>
      </w:r>
      <w:r>
        <w:t>. Papildyti šiuo 21</w:t>
      </w:r>
      <w:r>
        <w:rPr>
          <w:vertAlign w:val="superscript"/>
        </w:rPr>
        <w:t xml:space="preserve">1 </w:t>
      </w:r>
      <w:r>
        <w:t xml:space="preserve">punktu: </w:t>
      </w:r>
    </w:p>
    <w:p w14:paraId="4F4CE8DD" w14:textId="77777777" w:rsidR="00475193" w:rsidRDefault="00285A62">
      <w:pPr>
        <w:ind w:firstLine="567"/>
        <w:jc w:val="both"/>
      </w:pPr>
      <w:r>
        <w:t>„</w:t>
      </w:r>
      <w:r>
        <w:t>21</w:t>
      </w:r>
      <w:r>
        <w:rPr>
          <w:vertAlign w:val="superscript"/>
        </w:rPr>
        <w:t>1</w:t>
      </w:r>
      <w:r>
        <w:t>.</w:t>
      </w:r>
      <w:r>
        <w:rPr>
          <w:vertAlign w:val="superscript"/>
        </w:rPr>
        <w:t xml:space="preserve"> </w:t>
      </w:r>
      <w:r>
        <w:t>Likusio be tėvų globos vaiko socialinė globa šeimynoje finansuojama pagal formulę:</w:t>
      </w:r>
    </w:p>
    <w:tbl>
      <w:tblPr>
        <w:tblW w:w="2652" w:type="dxa"/>
        <w:jc w:val="center"/>
        <w:tblInd w:w="19" w:type="dxa"/>
        <w:tblLook w:val="04A0" w:firstRow="1" w:lastRow="0" w:firstColumn="1" w:lastColumn="0" w:noHBand="0" w:noVBand="1"/>
      </w:tblPr>
      <w:tblGrid>
        <w:gridCol w:w="739"/>
        <w:gridCol w:w="1636"/>
        <w:gridCol w:w="277"/>
      </w:tblGrid>
      <w:tr w:rsidR="00475193" w14:paraId="4F4CE8E1" w14:textId="77777777">
        <w:trPr>
          <w:trHeight w:val="330"/>
          <w:jc w:val="center"/>
        </w:trPr>
        <w:tc>
          <w:tcPr>
            <w:tcW w:w="739" w:type="dxa"/>
            <w:vMerge w:val="restart"/>
            <w:tcBorders>
              <w:top w:val="nil"/>
              <w:left w:val="nil"/>
              <w:right w:val="nil"/>
            </w:tcBorders>
            <w:shd w:val="clear" w:color="auto" w:fill="auto"/>
            <w:noWrap/>
            <w:tcMar>
              <w:left w:w="57" w:type="dxa"/>
              <w:right w:w="57" w:type="dxa"/>
            </w:tcMar>
            <w:vAlign w:val="center"/>
          </w:tcPr>
          <w:p w14:paraId="4F4CE8DE" w14:textId="77777777" w:rsidR="00475193" w:rsidRDefault="00285A62">
            <w:pPr>
              <w:jc w:val="right"/>
              <w:rPr>
                <w:bCs/>
                <w:color w:val="000000"/>
              </w:rPr>
            </w:pPr>
            <w:r>
              <w:rPr>
                <w:bCs/>
                <w:color w:val="000000"/>
              </w:rPr>
              <w:lastRenderedPageBreak/>
              <w:t>SG =</w:t>
            </w:r>
          </w:p>
        </w:tc>
        <w:tc>
          <w:tcPr>
            <w:tcW w:w="1636" w:type="dxa"/>
            <w:tcBorders>
              <w:top w:val="nil"/>
              <w:left w:val="nil"/>
              <w:bottom w:val="single" w:sz="4" w:space="0" w:color="auto"/>
              <w:right w:val="nil"/>
            </w:tcBorders>
            <w:shd w:val="clear" w:color="auto" w:fill="auto"/>
            <w:noWrap/>
            <w:tcMar>
              <w:left w:w="57" w:type="dxa"/>
              <w:right w:w="57" w:type="dxa"/>
            </w:tcMar>
            <w:vAlign w:val="bottom"/>
          </w:tcPr>
          <w:p w14:paraId="4F4CE8DF" w14:textId="77777777" w:rsidR="00475193" w:rsidRDefault="00285A62">
            <w:pPr>
              <w:jc w:val="center"/>
              <w:rPr>
                <w:bCs/>
                <w:color w:val="000000"/>
              </w:rPr>
            </w:pPr>
            <w:r>
              <w:rPr>
                <w:bCs/>
                <w:color w:val="000000"/>
              </w:rPr>
              <w:t>(vgxn)+(IPxd)</w:t>
            </w:r>
          </w:p>
        </w:tc>
        <w:tc>
          <w:tcPr>
            <w:tcW w:w="277" w:type="dxa"/>
            <w:vMerge w:val="restart"/>
            <w:tcBorders>
              <w:top w:val="nil"/>
              <w:left w:val="nil"/>
              <w:right w:val="nil"/>
            </w:tcBorders>
            <w:tcMar>
              <w:left w:w="57" w:type="dxa"/>
              <w:right w:w="57" w:type="dxa"/>
            </w:tcMar>
            <w:vAlign w:val="center"/>
          </w:tcPr>
          <w:p w14:paraId="4F4CE8E0" w14:textId="77777777" w:rsidR="00475193" w:rsidRDefault="00285A62">
            <w:pPr>
              <w:rPr>
                <w:bCs/>
                <w:color w:val="000000"/>
              </w:rPr>
            </w:pPr>
            <w:r>
              <w:rPr>
                <w:bCs/>
                <w:color w:val="000000"/>
              </w:rPr>
              <w:t>.</w:t>
            </w:r>
          </w:p>
        </w:tc>
      </w:tr>
      <w:tr w:rsidR="00475193" w14:paraId="4F4CE8E5" w14:textId="77777777">
        <w:trPr>
          <w:trHeight w:val="315"/>
          <w:jc w:val="center"/>
        </w:trPr>
        <w:tc>
          <w:tcPr>
            <w:tcW w:w="739" w:type="dxa"/>
            <w:vMerge/>
            <w:tcBorders>
              <w:left w:val="nil"/>
              <w:bottom w:val="nil"/>
              <w:right w:val="nil"/>
            </w:tcBorders>
            <w:tcMar>
              <w:left w:w="57" w:type="dxa"/>
              <w:right w:w="57" w:type="dxa"/>
            </w:tcMar>
            <w:vAlign w:val="center"/>
          </w:tcPr>
          <w:p w14:paraId="4F4CE8E2" w14:textId="77777777" w:rsidR="00475193" w:rsidRDefault="00475193">
            <w:pPr>
              <w:rPr>
                <w:bCs/>
                <w:color w:val="000000"/>
              </w:rPr>
            </w:pPr>
          </w:p>
        </w:tc>
        <w:tc>
          <w:tcPr>
            <w:tcW w:w="1636" w:type="dxa"/>
            <w:tcBorders>
              <w:top w:val="single" w:sz="4" w:space="0" w:color="auto"/>
              <w:left w:val="nil"/>
              <w:bottom w:val="nil"/>
              <w:right w:val="nil"/>
            </w:tcBorders>
            <w:shd w:val="clear" w:color="auto" w:fill="auto"/>
            <w:noWrap/>
            <w:tcMar>
              <w:left w:w="57" w:type="dxa"/>
              <w:right w:w="57" w:type="dxa"/>
            </w:tcMar>
            <w:vAlign w:val="bottom"/>
          </w:tcPr>
          <w:p w14:paraId="4F4CE8E3" w14:textId="77777777" w:rsidR="00475193" w:rsidRDefault="00285A62">
            <w:pPr>
              <w:jc w:val="center"/>
              <w:rPr>
                <w:bCs/>
                <w:color w:val="000000"/>
              </w:rPr>
            </w:pPr>
            <w:r>
              <w:rPr>
                <w:bCs/>
                <w:color w:val="000000"/>
              </w:rPr>
              <w:t>n</w:t>
            </w:r>
          </w:p>
        </w:tc>
        <w:tc>
          <w:tcPr>
            <w:tcW w:w="277" w:type="dxa"/>
            <w:vMerge/>
            <w:tcBorders>
              <w:left w:val="nil"/>
              <w:bottom w:val="nil"/>
              <w:right w:val="nil"/>
            </w:tcBorders>
            <w:tcMar>
              <w:left w:w="57" w:type="dxa"/>
              <w:right w:w="57" w:type="dxa"/>
            </w:tcMar>
            <w:vAlign w:val="center"/>
          </w:tcPr>
          <w:p w14:paraId="4F4CE8E4" w14:textId="77777777" w:rsidR="00475193" w:rsidRDefault="00475193">
            <w:pPr>
              <w:rPr>
                <w:bCs/>
                <w:color w:val="000000"/>
              </w:rPr>
            </w:pPr>
          </w:p>
        </w:tc>
      </w:tr>
    </w:tbl>
    <w:p w14:paraId="4F4CE8E6" w14:textId="77777777" w:rsidR="00475193" w:rsidRDefault="00285A62">
      <w:pPr>
        <w:ind w:firstLine="567"/>
        <w:jc w:val="both"/>
      </w:pPr>
      <w:r>
        <w:t xml:space="preserve">Šioje </w:t>
      </w:r>
      <w:r>
        <w:t>formulėje:</w:t>
      </w:r>
    </w:p>
    <w:p w14:paraId="4F4CE8E7" w14:textId="77777777" w:rsidR="00475193" w:rsidRDefault="00285A62">
      <w:pPr>
        <w:ind w:firstLine="567"/>
        <w:jc w:val="both"/>
      </w:pPr>
      <w:r>
        <w:t>SG – lėšos likusio be tėvų globos vaiko socialinei globai šeimynoje finansuoti;</w:t>
      </w:r>
    </w:p>
    <w:p w14:paraId="4F4CE8E8" w14:textId="77777777" w:rsidR="00475193" w:rsidRDefault="00285A62">
      <w:pPr>
        <w:ind w:firstLine="567"/>
        <w:jc w:val="both"/>
      </w:pPr>
      <w:r>
        <w:t xml:space="preserve">vg – vaiko globos (rūpybos) išmoka; </w:t>
      </w:r>
    </w:p>
    <w:p w14:paraId="4F4CE8E9" w14:textId="77777777" w:rsidR="00475193" w:rsidRDefault="00285A62">
      <w:pPr>
        <w:ind w:firstLine="567"/>
        <w:jc w:val="both"/>
      </w:pPr>
      <w:r>
        <w:t>n – globojamų (rūpinamų) vaikų skaičius;</w:t>
      </w:r>
    </w:p>
    <w:p w14:paraId="4F4CE8EA" w14:textId="77777777" w:rsidR="00475193" w:rsidRDefault="00285A62">
      <w:pPr>
        <w:ind w:firstLine="567"/>
        <w:jc w:val="both"/>
      </w:pPr>
      <w:r>
        <w:t>IP – šeimynos dalyvio išlaikymo pajamos;</w:t>
      </w:r>
    </w:p>
    <w:p w14:paraId="4F4CE8EB" w14:textId="77777777" w:rsidR="00475193" w:rsidRDefault="00285A62">
      <w:pPr>
        <w:ind w:firstLine="567"/>
        <w:jc w:val="both"/>
      </w:pPr>
      <w:r>
        <w:t>d – šeimynos dalyvių skaičius.</w:t>
      </w:r>
    </w:p>
    <w:p w14:paraId="4F4CE8EC" w14:textId="77777777" w:rsidR="00475193" w:rsidRDefault="00285A62">
      <w:pPr>
        <w:ind w:firstLine="567"/>
        <w:jc w:val="both"/>
      </w:pPr>
      <w:r>
        <w:t>Savivaldybės ad</w:t>
      </w:r>
      <w:r>
        <w:t>ministracijos ir šeimynos susitarimu savivaldybė gali skirti ir kitą finansinę ir materialinę paramą šeimynai.“</w:t>
      </w:r>
    </w:p>
    <w:p w14:paraId="4F4CE8ED" w14:textId="77777777" w:rsidR="00475193" w:rsidRDefault="00285A62">
      <w:pPr>
        <w:ind w:firstLine="567"/>
        <w:jc w:val="both"/>
        <w:rPr>
          <w:color w:val="000000"/>
        </w:rPr>
      </w:pPr>
      <w:r>
        <w:rPr>
          <w:color w:val="000000"/>
        </w:rPr>
        <w:t>1.6</w:t>
      </w:r>
      <w:r>
        <w:rPr>
          <w:color w:val="000000"/>
        </w:rPr>
        <w:t>. Įrašyti 27.6 punkte po žodžio „prekėms“ žodžius „ir paslaugoms“.</w:t>
      </w:r>
    </w:p>
    <w:p w14:paraId="4F4CE8EE" w14:textId="77777777" w:rsidR="00475193" w:rsidRDefault="00285A62">
      <w:pPr>
        <w:ind w:firstLine="567"/>
        <w:jc w:val="both"/>
      </w:pPr>
      <w:r>
        <w:t>1.7</w:t>
      </w:r>
      <w:r>
        <w:t>. Įrašyti 29 punkte po žodžio „lėšos“ žodį „nekilnojamajam“</w:t>
      </w:r>
      <w:r>
        <w:t>.</w:t>
      </w:r>
    </w:p>
    <w:p w14:paraId="4F4CE8EF" w14:textId="77777777" w:rsidR="00475193" w:rsidRDefault="00285A62">
      <w:pPr>
        <w:ind w:firstLine="567"/>
        <w:jc w:val="both"/>
        <w:rPr>
          <w:color w:val="000000"/>
        </w:rPr>
      </w:pPr>
      <w:r>
        <w:rPr>
          <w:color w:val="000000"/>
        </w:rPr>
        <w:t>1.8</w:t>
      </w:r>
      <w:r>
        <w:rPr>
          <w:color w:val="000000"/>
        </w:rPr>
        <w:t>. Išdėstyti 32 punkto trečiąją pastraipą taip:</w:t>
      </w:r>
    </w:p>
    <w:p w14:paraId="4F4CE8F0" w14:textId="77777777" w:rsidR="00475193" w:rsidRDefault="00285A62">
      <w:pPr>
        <w:ind w:firstLine="567"/>
        <w:jc w:val="both"/>
        <w:rPr>
          <w:color w:val="000000"/>
        </w:rPr>
      </w:pPr>
      <w:r>
        <w:rPr>
          <w:color w:val="000000"/>
        </w:rPr>
        <w:t xml:space="preserve">„Socialinių paslaugų įstaigas, kurių savininko teises ir pareigas įgyvendinanti institucija </w:t>
      </w:r>
      <w:r>
        <w:t>ar socialinės globos įstaigos dalininkas</w:t>
      </w:r>
      <w:r>
        <w:rPr>
          <w:b/>
        </w:rPr>
        <w:t xml:space="preserve"> </w:t>
      </w:r>
      <w:r>
        <w:t>(savininkas)</w:t>
      </w:r>
      <w:r>
        <w:rPr>
          <w:b/>
        </w:rPr>
        <w:t xml:space="preserve"> </w:t>
      </w:r>
      <w:r>
        <w:t xml:space="preserve">yra pati savivaldybė, savivaldybės finansuoja tiesiogiai, pagal biudžetų asignavimų valdytojų patvirtintas programas.“ </w:t>
      </w:r>
    </w:p>
    <w:p w14:paraId="4F4CE8F1" w14:textId="77777777" w:rsidR="00475193" w:rsidRDefault="00285A62">
      <w:pPr>
        <w:ind w:firstLine="567"/>
        <w:jc w:val="both"/>
        <w:rPr>
          <w:color w:val="000000"/>
        </w:rPr>
      </w:pPr>
      <w:r>
        <w:rPr>
          <w:color w:val="000000"/>
        </w:rPr>
        <w:t>1.9</w:t>
      </w:r>
      <w:r>
        <w:rPr>
          <w:color w:val="000000"/>
        </w:rPr>
        <w:t>. Įrašyti 34 punkte po žodžių „Socialinių paslaugų priežiūros departamentas“ žodžius „prie Socialinės apsaugos ir darbo minis</w:t>
      </w:r>
      <w:r>
        <w:rPr>
          <w:color w:val="000000"/>
        </w:rPr>
        <w:t>terijos (toliau vadinama – Socialinių paslaugų priežiūros departamentas)</w:t>
      </w:r>
      <w:r>
        <w:t>“</w:t>
      </w:r>
      <w:r>
        <w:rPr>
          <w:color w:val="000000"/>
        </w:rPr>
        <w:t>.</w:t>
      </w:r>
    </w:p>
    <w:p w14:paraId="4F4CE8F2" w14:textId="77777777" w:rsidR="00475193" w:rsidRDefault="00285A62">
      <w:pPr>
        <w:ind w:firstLine="567"/>
        <w:jc w:val="both"/>
      </w:pPr>
      <w:r>
        <w:t>1.10</w:t>
      </w:r>
      <w:r>
        <w:t>. Išdėstyti 37 punktą taip:</w:t>
      </w:r>
    </w:p>
    <w:p w14:paraId="4F4CE8F3" w14:textId="77777777" w:rsidR="00475193" w:rsidRDefault="00285A62">
      <w:pPr>
        <w:ind w:firstLine="567"/>
        <w:jc w:val="both"/>
      </w:pPr>
      <w:r>
        <w:rPr>
          <w:color w:val="000000"/>
        </w:rPr>
        <w:t>„</w:t>
      </w:r>
      <w:r>
        <w:rPr>
          <w:color w:val="000000"/>
        </w:rPr>
        <w:t>37</w:t>
      </w:r>
      <w:r>
        <w:rPr>
          <w:color w:val="000000"/>
        </w:rPr>
        <w:t xml:space="preserve">. Socialinės globos įstaigoje (išskyrus socialinės globos įstaigas </w:t>
      </w:r>
      <w:r>
        <w:t>senyvo amžiaus asmenims), kurios savininko teises ir pareigas įgyvendinan</w:t>
      </w:r>
      <w:r>
        <w:t>čia institucija ar socialinės globos įstaigos dalininku (savininku)</w:t>
      </w:r>
      <w:r>
        <w:rPr>
          <w:b/>
        </w:rPr>
        <w:t xml:space="preserve"> </w:t>
      </w:r>
      <w:r>
        <w:t xml:space="preserve">yra savivaldybė ar </w:t>
      </w:r>
      <w:r>
        <w:rPr>
          <w:color w:val="000000"/>
        </w:rPr>
        <w:t xml:space="preserve">Socialinės apsaugos ir darbo ministerija, </w:t>
      </w:r>
      <w:r>
        <w:t>ilgalaikę socialinę globą gali gauti tik tie asmenys, kuriems socialinių paslaugų poreikį nustatė savivaldybė ir kuriems social</w:t>
      </w:r>
      <w:r>
        <w:t xml:space="preserve">inių paslaugų teikimas finansuojamas iš savivaldybės biudžeto ar savivaldybės biudžetui skiriamų Lietuvos Respublikos valstybės biudžeto specialiųjų tikslinių dotacijų. </w:t>
      </w:r>
    </w:p>
    <w:p w14:paraId="4F4CE8F4" w14:textId="77777777" w:rsidR="00475193" w:rsidRDefault="00285A62">
      <w:pPr>
        <w:ind w:firstLine="567"/>
        <w:jc w:val="both"/>
      </w:pPr>
      <w:r>
        <w:t>Socialinės globos įstaigoje senyvo amžiaus asmenims, kurios savininko teises ir pareig</w:t>
      </w:r>
      <w:r>
        <w:t xml:space="preserve">as įgyvendinančia institucija ar socialinės globos įstaigos dalininku (savininku) yra savivaldybė ar </w:t>
      </w:r>
      <w:r>
        <w:rPr>
          <w:color w:val="000000"/>
        </w:rPr>
        <w:t>Socialinės apsaugos ir darbo ministerija</w:t>
      </w:r>
      <w:r>
        <w:t>, jeigu yra laisvų vietų ir nėra asmenų, įrašytų į eilę ilgalaikei socialinei globai šioje įstaigoje gauti, suderin</w:t>
      </w:r>
      <w:r>
        <w:t>us su savininko teises ir pareigas įgyvendinančia institucija ar socialinės globos įstaigos dalininku (savininku), ilgalaikė socialinė globa gali būti teikiama privačiai socialinės globos įstaigos ir asmens (globėjo, rūpintojo) tarpusavio susitarimu.“</w:t>
      </w:r>
    </w:p>
    <w:p w14:paraId="4F4CE8F5" w14:textId="77777777" w:rsidR="00475193" w:rsidRDefault="00285A62">
      <w:pPr>
        <w:ind w:firstLine="567"/>
        <w:jc w:val="both"/>
      </w:pPr>
      <w:r>
        <w:t>1.11</w:t>
      </w:r>
      <w:r>
        <w:t>. Papildyti šiuo 43 punktu:</w:t>
      </w:r>
    </w:p>
    <w:p w14:paraId="4F4CE8F6" w14:textId="77777777" w:rsidR="00475193" w:rsidRDefault="00285A62">
      <w:pPr>
        <w:ind w:firstLine="567"/>
        <w:jc w:val="both"/>
      </w:pPr>
      <w:r>
        <w:t>„</w:t>
      </w:r>
      <w:r>
        <w:t>43</w:t>
      </w:r>
      <w:r>
        <w:t xml:space="preserve">. Už Lietuvos Respublikos valstybės ir savivaldybės biudžeto lėšų panaudojimą šeimynos atsiskaito savivaldybės administracijai Lietuvos Respublikos Vyriausybės ar jos įgaliotos institucijos patvirtintų Šeimynų </w:t>
      </w:r>
      <w:r>
        <w:t>nuostatų nustatyta tvarka.“</w:t>
      </w:r>
    </w:p>
    <w:p w14:paraId="4F4CE8F9" w14:textId="6416A45D" w:rsidR="00475193" w:rsidRDefault="00285A62" w:rsidP="00285A62">
      <w:pPr>
        <w:ind w:firstLine="567"/>
        <w:jc w:val="both"/>
      </w:pPr>
      <w:r>
        <w:t>2</w:t>
      </w:r>
      <w:r>
        <w:t xml:space="preserve">. Šis nutarimas įsigalioja 2010 m. liepos 1 dieną. </w:t>
      </w:r>
    </w:p>
    <w:p w14:paraId="0673C944" w14:textId="77777777" w:rsidR="00285A62" w:rsidRDefault="00285A62">
      <w:pPr>
        <w:tabs>
          <w:tab w:val="right" w:pos="9071"/>
        </w:tabs>
      </w:pPr>
    </w:p>
    <w:p w14:paraId="5B98BABC" w14:textId="77777777" w:rsidR="00285A62" w:rsidRDefault="00285A62">
      <w:pPr>
        <w:tabs>
          <w:tab w:val="right" w:pos="9071"/>
        </w:tabs>
      </w:pPr>
    </w:p>
    <w:p w14:paraId="0D40A973" w14:textId="77777777" w:rsidR="00285A62" w:rsidRDefault="00285A62">
      <w:pPr>
        <w:tabs>
          <w:tab w:val="right" w:pos="9071"/>
        </w:tabs>
      </w:pPr>
    </w:p>
    <w:p w14:paraId="4F4CE8FA" w14:textId="22FCE98E" w:rsidR="00475193" w:rsidRDefault="00285A62">
      <w:pPr>
        <w:tabs>
          <w:tab w:val="right" w:pos="9071"/>
        </w:tabs>
      </w:pPr>
      <w:r>
        <w:t>MINISTRAS PIRMININKAS</w:t>
      </w:r>
      <w:r>
        <w:tab/>
        <w:t>ANDRIUS KUBILIUS</w:t>
      </w:r>
    </w:p>
    <w:p w14:paraId="4F4CE8FB" w14:textId="77777777" w:rsidR="00475193" w:rsidRDefault="00475193"/>
    <w:p w14:paraId="04B14A84" w14:textId="77777777" w:rsidR="00285A62" w:rsidRDefault="00285A62"/>
    <w:p w14:paraId="2084641A" w14:textId="77777777" w:rsidR="00285A62" w:rsidRDefault="00285A62"/>
    <w:p w14:paraId="4F4CE8FE" w14:textId="4848EE83" w:rsidR="00475193" w:rsidRDefault="00285A62" w:rsidP="00285A62">
      <w:pPr>
        <w:tabs>
          <w:tab w:val="right" w:pos="9071"/>
        </w:tabs>
      </w:pPr>
      <w:r>
        <w:t>SOCIALINĖS APSAUGOS IR DARBO MINISTRAS</w:t>
      </w:r>
      <w:r>
        <w:tab/>
        <w:t>DONATAS JANKAUSKAS</w:t>
      </w:r>
    </w:p>
    <w:bookmarkStart w:id="0" w:name="_GoBack" w:displacedByCustomXml="next"/>
    <w:bookmarkEnd w:id="0" w:displacedByCustomXml="next"/>
    <w:sectPr w:rsidR="00475193">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CE902" w14:textId="77777777" w:rsidR="00475193" w:rsidRDefault="00285A62">
      <w:r>
        <w:separator/>
      </w:r>
    </w:p>
  </w:endnote>
  <w:endnote w:type="continuationSeparator" w:id="0">
    <w:p w14:paraId="4F4CE903" w14:textId="77777777" w:rsidR="00475193" w:rsidRDefault="0028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CE908" w14:textId="77777777" w:rsidR="00475193" w:rsidRDefault="00475193">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CE909" w14:textId="77777777" w:rsidR="00475193" w:rsidRDefault="00475193">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CE90B" w14:textId="77777777" w:rsidR="00475193" w:rsidRDefault="00475193">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CE900" w14:textId="77777777" w:rsidR="00475193" w:rsidRDefault="00285A62">
      <w:r>
        <w:separator/>
      </w:r>
    </w:p>
  </w:footnote>
  <w:footnote w:type="continuationSeparator" w:id="0">
    <w:p w14:paraId="4F4CE901" w14:textId="77777777" w:rsidR="00475193" w:rsidRDefault="00285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CE904" w14:textId="77777777" w:rsidR="00475193" w:rsidRDefault="00285A62">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14:paraId="4F4CE905" w14:textId="77777777" w:rsidR="00475193" w:rsidRDefault="00475193">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CE906" w14:textId="77777777" w:rsidR="00475193" w:rsidRDefault="00285A62">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noProof/>
        <w:sz w:val="22"/>
      </w:rPr>
      <w:t>2</w:t>
    </w:r>
    <w:r>
      <w:rPr>
        <w:sz w:val="22"/>
      </w:rPr>
      <w:fldChar w:fldCharType="end"/>
    </w:r>
  </w:p>
  <w:p w14:paraId="4F4CE907" w14:textId="77777777" w:rsidR="00475193" w:rsidRDefault="00475193">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CE90A" w14:textId="77777777" w:rsidR="00475193" w:rsidRDefault="0047519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7D"/>
    <w:rsid w:val="00285A62"/>
    <w:rsid w:val="00475193"/>
    <w:rsid w:val="0063127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4C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85A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85A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4146">
      <w:bodyDiv w:val="1"/>
      <w:marLeft w:val="0"/>
      <w:marRight w:val="0"/>
      <w:marTop w:val="0"/>
      <w:marBottom w:val="0"/>
      <w:divBdr>
        <w:top w:val="none" w:sz="0" w:space="0" w:color="auto"/>
        <w:left w:val="none" w:sz="0" w:space="0" w:color="auto"/>
        <w:bottom w:val="none" w:sz="0" w:space="0" w:color="auto"/>
        <w:right w:val="none" w:sz="0" w:space="0" w:color="auto"/>
      </w:divBdr>
    </w:div>
    <w:div w:id="228078287">
      <w:bodyDiv w:val="1"/>
      <w:marLeft w:val="0"/>
      <w:marRight w:val="0"/>
      <w:marTop w:val="0"/>
      <w:marBottom w:val="0"/>
      <w:divBdr>
        <w:top w:val="none" w:sz="0" w:space="0" w:color="auto"/>
        <w:left w:val="none" w:sz="0" w:space="0" w:color="auto"/>
        <w:bottom w:val="none" w:sz="0" w:space="0" w:color="auto"/>
        <w:right w:val="none" w:sz="0" w:space="0" w:color="auto"/>
      </w:divBdr>
    </w:div>
    <w:div w:id="734012574">
      <w:bodyDiv w:val="1"/>
      <w:marLeft w:val="0"/>
      <w:marRight w:val="0"/>
      <w:marTop w:val="0"/>
      <w:marBottom w:val="0"/>
      <w:divBdr>
        <w:top w:val="none" w:sz="0" w:space="0" w:color="auto"/>
        <w:left w:val="none" w:sz="0" w:space="0" w:color="auto"/>
        <w:bottom w:val="none" w:sz="0" w:space="0" w:color="auto"/>
        <w:right w:val="none" w:sz="0" w:space="0" w:color="auto"/>
      </w:divBdr>
    </w:div>
    <w:div w:id="830565581">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055158217">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67C00C4970A"/>
  <Relationship Id="rId11" Type="http://schemas.openxmlformats.org/officeDocument/2006/relationships/hyperlink" TargetMode="External" Target="https://www.e-tar.lt/portal/lt/legalAct/TAR.1E5D5D09FFD4"/>
  <Relationship Id="rId12" Type="http://schemas.openxmlformats.org/officeDocument/2006/relationships/hyperlink" TargetMode="External" Target="https://www.e-tar.lt/portal/lt/legalAct/TAR.E4FE2312014F"/>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C0"/>
    <w:rsid w:val="003C77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C77C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C77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4005</Words>
  <Characters>2284</Characters>
  <Application>Microsoft Office Word</Application>
  <DocSecurity>0</DocSecurity>
  <Lines>19</Lines>
  <Paragraphs>12</Paragraphs>
  <ScaleCrop>false</ScaleCrop>
  <Company>LRVK</Company>
  <LinksUpToDate>false</LinksUpToDate>
  <CharactersWithSpaces>6277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2015-09-09T06:46:00Z</dcterms:created>
  <dc:creator>lrvk</dc:creator>
  <lastModifiedBy>BODIN Aušra</lastModifiedBy>
  <lastPrinted>2010-06-03T08:36:00Z</lastPrinted>
  <dcterms:modified xsi:type="dcterms:W3CDTF">2016-04-27T11:46:00Z</dcterms:modified>
  <revision>3</revision>
</coreProperties>
</file>