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D281C" w14:textId="77777777" w:rsidR="00D81F3E" w:rsidRPr="0042394B" w:rsidRDefault="0042394B">
      <w:pPr>
        <w:widowControl w:val="0"/>
        <w:jc w:val="center"/>
        <w:rPr>
          <w:b/>
          <w:color w:val="000000"/>
          <w:szCs w:val="24"/>
          <w:lang w:eastAsia="lt-LT"/>
        </w:rPr>
      </w:pPr>
      <w:r w:rsidRPr="0042394B">
        <w:rPr>
          <w:b/>
          <w:color w:val="000000"/>
          <w:szCs w:val="24"/>
          <w:lang w:eastAsia="lt-LT"/>
        </w:rPr>
        <w:t>LIETUVOS RESPUBLIKOS SPECIALIŲJŲ TYRIMŲ TARNYBOS DIREKTORIAUS</w:t>
      </w:r>
    </w:p>
    <w:p w14:paraId="207500F5" w14:textId="77777777" w:rsidR="0042394B" w:rsidRPr="0042394B" w:rsidRDefault="0042394B">
      <w:pPr>
        <w:widowControl w:val="0"/>
        <w:jc w:val="center"/>
        <w:rPr>
          <w:b/>
          <w:bCs/>
          <w:color w:val="000000"/>
          <w:szCs w:val="24"/>
          <w:lang w:eastAsia="lt-LT"/>
        </w:rPr>
      </w:pPr>
    </w:p>
    <w:p w14:paraId="6A5D281E" w14:textId="6B7B6CE7" w:rsidR="00D81F3E" w:rsidRPr="0042394B" w:rsidRDefault="0042394B">
      <w:pPr>
        <w:widowControl w:val="0"/>
        <w:jc w:val="center"/>
        <w:rPr>
          <w:b/>
          <w:color w:val="000000"/>
          <w:szCs w:val="24"/>
          <w:lang w:eastAsia="lt-LT"/>
        </w:rPr>
      </w:pPr>
      <w:r w:rsidRPr="0042394B">
        <w:rPr>
          <w:b/>
          <w:color w:val="000000"/>
          <w:szCs w:val="24"/>
          <w:lang w:eastAsia="lt-LT"/>
        </w:rPr>
        <w:t>Į S A K Y M A S</w:t>
      </w:r>
    </w:p>
    <w:p w14:paraId="6A5D281F" w14:textId="77777777" w:rsidR="00D81F3E" w:rsidRDefault="0042394B">
      <w:pPr>
        <w:widowControl w:val="0"/>
        <w:jc w:val="center"/>
        <w:rPr>
          <w:b/>
          <w:bCs/>
          <w:caps/>
          <w:color w:val="000000"/>
          <w:szCs w:val="24"/>
          <w:lang w:eastAsia="lt-LT"/>
        </w:rPr>
      </w:pPr>
      <w:r>
        <w:rPr>
          <w:b/>
          <w:bCs/>
          <w:caps/>
          <w:color w:val="000000"/>
          <w:szCs w:val="24"/>
          <w:lang w:eastAsia="lt-LT"/>
        </w:rPr>
        <w:t xml:space="preserve">DĖL LIETUVOS RESPUBLIKOS SPECIALIŲJŲ TYRIMŲ TARNYBOS PAREIGŪNŲ ATLIEKAMO IŠVADŲ DĖL KORUPCIJOS PASIREIŠKIMO TIKIMYBIŲ VERTINIMo ir KORUPCIJOS RIZIKOS ANALIZĖS ATLIKIMO TVARKOS </w:t>
      </w:r>
      <w:r>
        <w:rPr>
          <w:b/>
          <w:bCs/>
          <w:caps/>
          <w:color w:val="000000"/>
          <w:szCs w:val="24"/>
          <w:lang w:eastAsia="lt-LT"/>
        </w:rPr>
        <w:t>APRAŠo PATVIRTINIMO</w:t>
      </w:r>
    </w:p>
    <w:p w14:paraId="6A5D2820" w14:textId="77777777" w:rsidR="00D81F3E" w:rsidRDefault="00D81F3E">
      <w:pPr>
        <w:widowControl w:val="0"/>
        <w:jc w:val="center"/>
        <w:rPr>
          <w:color w:val="000000"/>
          <w:szCs w:val="24"/>
          <w:lang w:eastAsia="lt-LT"/>
        </w:rPr>
      </w:pPr>
    </w:p>
    <w:p w14:paraId="6A5D2821" w14:textId="77777777" w:rsidR="00D81F3E" w:rsidRDefault="0042394B">
      <w:pPr>
        <w:widowControl w:val="0"/>
        <w:jc w:val="center"/>
        <w:rPr>
          <w:color w:val="000000"/>
          <w:szCs w:val="24"/>
          <w:lang w:eastAsia="lt-LT"/>
        </w:rPr>
      </w:pPr>
      <w:r>
        <w:rPr>
          <w:color w:val="000000"/>
          <w:szCs w:val="24"/>
          <w:lang w:eastAsia="lt-LT"/>
        </w:rPr>
        <w:t>2013 m. kovo 29 d. Nr. 2-102</w:t>
      </w:r>
    </w:p>
    <w:p w14:paraId="6A5D2822" w14:textId="77777777" w:rsidR="00D81F3E" w:rsidRDefault="0042394B">
      <w:pPr>
        <w:widowControl w:val="0"/>
        <w:jc w:val="center"/>
        <w:rPr>
          <w:color w:val="000000"/>
          <w:szCs w:val="24"/>
          <w:lang w:eastAsia="lt-LT"/>
        </w:rPr>
      </w:pPr>
      <w:r>
        <w:rPr>
          <w:color w:val="000000"/>
          <w:szCs w:val="24"/>
          <w:lang w:eastAsia="lt-LT"/>
        </w:rPr>
        <w:t>Vilnius</w:t>
      </w:r>
    </w:p>
    <w:p w14:paraId="6A5D2823" w14:textId="77777777" w:rsidR="00D81F3E" w:rsidRDefault="00D81F3E">
      <w:pPr>
        <w:widowControl w:val="0"/>
        <w:ind w:firstLine="567"/>
        <w:jc w:val="both"/>
        <w:rPr>
          <w:color w:val="000000"/>
          <w:szCs w:val="24"/>
          <w:lang w:eastAsia="lt-LT"/>
        </w:rPr>
      </w:pPr>
    </w:p>
    <w:p w14:paraId="790DD745" w14:textId="77777777" w:rsidR="0042394B" w:rsidRDefault="0042394B">
      <w:pPr>
        <w:widowControl w:val="0"/>
        <w:ind w:firstLine="567"/>
        <w:jc w:val="both"/>
        <w:rPr>
          <w:color w:val="000000"/>
          <w:szCs w:val="24"/>
          <w:lang w:eastAsia="lt-LT"/>
        </w:rPr>
      </w:pPr>
    </w:p>
    <w:p w14:paraId="6A5D2824" w14:textId="77777777" w:rsidR="00D81F3E" w:rsidRDefault="0042394B">
      <w:pPr>
        <w:widowControl w:val="0"/>
        <w:ind w:firstLine="567"/>
        <w:jc w:val="both"/>
        <w:rPr>
          <w:color w:val="000000"/>
          <w:szCs w:val="24"/>
          <w:lang w:eastAsia="lt-LT"/>
        </w:rPr>
      </w:pPr>
      <w:r>
        <w:rPr>
          <w:color w:val="000000"/>
          <w:szCs w:val="24"/>
          <w:lang w:eastAsia="lt-LT"/>
        </w:rPr>
        <w:t xml:space="preserve">Vadovaudamasis Lietuvos Respublikos specialiųjų tyrimų tarnybos įstatymo (Žin., 2000, Nr. </w:t>
      </w:r>
      <w:hyperlink r:id="rId6" w:tgtFrame="_blank" w:history="1">
        <w:r>
          <w:rPr>
            <w:color w:val="0000FF" w:themeColor="hyperlink"/>
            <w:szCs w:val="24"/>
            <w:u w:val="single"/>
            <w:lang w:eastAsia="lt-LT"/>
          </w:rPr>
          <w:t>41-1162</w:t>
        </w:r>
      </w:hyperlink>
      <w:r>
        <w:rPr>
          <w:color w:val="000000"/>
          <w:szCs w:val="24"/>
          <w:lang w:eastAsia="lt-LT"/>
        </w:rPr>
        <w:t xml:space="preserve">; 2003, Nr. </w:t>
      </w:r>
      <w:hyperlink r:id="rId7" w:tgtFrame="_blank" w:history="1">
        <w:r>
          <w:rPr>
            <w:color w:val="0000FF" w:themeColor="hyperlink"/>
            <w:szCs w:val="24"/>
            <w:u w:val="single"/>
            <w:lang w:eastAsia="lt-LT"/>
          </w:rPr>
          <w:t>38-1657</w:t>
        </w:r>
      </w:hyperlink>
      <w:r>
        <w:rPr>
          <w:color w:val="000000"/>
          <w:szCs w:val="24"/>
          <w:lang w:eastAsia="lt-LT"/>
        </w:rPr>
        <w:t xml:space="preserve">) 22 straipsnio 3 dalies, Korupcijos rizikos analizės atlikimo tvarkos, patvirtintos Lietuvos Respublikos Vyriausybės 2002 m. spalio 8 d. nutarimu Nr. 1601 (Žin., 2002, Nr. </w:t>
      </w:r>
      <w:hyperlink r:id="rId8" w:tgtFrame="_blank" w:history="1">
        <w:r>
          <w:rPr>
            <w:color w:val="0000FF" w:themeColor="hyperlink"/>
            <w:szCs w:val="24"/>
            <w:u w:val="single"/>
            <w:lang w:eastAsia="lt-LT"/>
          </w:rPr>
          <w:t>98-4339</w:t>
        </w:r>
      </w:hyperlink>
      <w:r>
        <w:rPr>
          <w:color w:val="000000"/>
          <w:szCs w:val="24"/>
          <w:lang w:eastAsia="lt-LT"/>
        </w:rPr>
        <w:t xml:space="preserve">), 18 punkto nuostatomis ir atsižvelgdamas į Lietuvos Respublikos korupcijos prevencijos įstatymo (Žin., 2002, Nr. </w:t>
      </w:r>
      <w:hyperlink r:id="rId9" w:tgtFrame="_blank" w:history="1">
        <w:r>
          <w:rPr>
            <w:color w:val="0000FF" w:themeColor="hyperlink"/>
            <w:szCs w:val="24"/>
            <w:u w:val="single"/>
            <w:lang w:eastAsia="lt-LT"/>
          </w:rPr>
          <w:t>57-2297</w:t>
        </w:r>
      </w:hyperlink>
      <w:r>
        <w:rPr>
          <w:color w:val="000000"/>
          <w:szCs w:val="24"/>
          <w:lang w:eastAsia="lt-LT"/>
        </w:rPr>
        <w:t xml:space="preserve">; 2003, Nr. </w:t>
      </w:r>
      <w:hyperlink r:id="rId10" w:tgtFrame="_blank" w:history="1">
        <w:r>
          <w:rPr>
            <w:color w:val="0000FF" w:themeColor="hyperlink"/>
            <w:szCs w:val="24"/>
            <w:u w:val="single"/>
            <w:lang w:eastAsia="lt-LT"/>
          </w:rPr>
          <w:t>38-1728</w:t>
        </w:r>
      </w:hyperlink>
      <w:r>
        <w:rPr>
          <w:color w:val="000000"/>
          <w:szCs w:val="24"/>
          <w:lang w:eastAsia="lt-LT"/>
        </w:rPr>
        <w:t xml:space="preserve">; 2012, Nr. </w:t>
      </w:r>
      <w:hyperlink r:id="rId11" w:tgtFrame="_blank" w:history="1">
        <w:r>
          <w:rPr>
            <w:color w:val="0000FF" w:themeColor="hyperlink"/>
            <w:szCs w:val="24"/>
            <w:u w:val="single"/>
            <w:lang w:eastAsia="lt-LT"/>
          </w:rPr>
          <w:t>122-6109</w:t>
        </w:r>
      </w:hyperlink>
      <w:r>
        <w:rPr>
          <w:color w:val="000000"/>
          <w:szCs w:val="24"/>
          <w:lang w:eastAsia="lt-LT"/>
        </w:rPr>
        <w:t>) 6 straipsnio ir Korupcijos rizik</w:t>
      </w:r>
      <w:r>
        <w:rPr>
          <w:color w:val="000000"/>
          <w:szCs w:val="24"/>
          <w:lang w:eastAsia="lt-LT"/>
        </w:rPr>
        <w:t>os analizės atlikimo tvarkos 11–17, 19 punktų nuostatas:</w:t>
      </w:r>
    </w:p>
    <w:p w14:paraId="6A5D2825" w14:textId="77777777" w:rsidR="00D81F3E" w:rsidRDefault="0042394B">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w:t>
      </w:r>
      <w:r>
        <w:rPr>
          <w:color w:val="000000"/>
          <w:spacing w:val="58"/>
          <w:szCs w:val="24"/>
          <w:lang w:eastAsia="lt-LT"/>
        </w:rPr>
        <w:t>Tvirtinu</w:t>
      </w:r>
      <w:r>
        <w:rPr>
          <w:color w:val="000000"/>
          <w:szCs w:val="24"/>
          <w:lang w:eastAsia="lt-LT"/>
        </w:rPr>
        <w:t xml:space="preserve"> Lietuvos Respublikos specialiųjų tyrimų tarnybos pareigūnų atliekamo išvadų dėl korupcijos pasireiškimo tikimybių vertinimo</w:t>
      </w:r>
      <w:r>
        <w:rPr>
          <w:b/>
          <w:bCs/>
          <w:caps/>
          <w:color w:val="000000"/>
          <w:szCs w:val="24"/>
          <w:lang w:eastAsia="lt-LT"/>
        </w:rPr>
        <w:t xml:space="preserve"> </w:t>
      </w:r>
      <w:r>
        <w:rPr>
          <w:color w:val="000000"/>
          <w:szCs w:val="24"/>
          <w:lang w:eastAsia="lt-LT"/>
        </w:rPr>
        <w:t>ir</w:t>
      </w:r>
      <w:r>
        <w:rPr>
          <w:b/>
          <w:bCs/>
          <w:caps/>
          <w:color w:val="000000"/>
          <w:szCs w:val="24"/>
          <w:lang w:eastAsia="lt-LT"/>
        </w:rPr>
        <w:t xml:space="preserve"> </w:t>
      </w:r>
      <w:r>
        <w:rPr>
          <w:color w:val="000000"/>
          <w:szCs w:val="24"/>
          <w:lang w:eastAsia="lt-LT"/>
        </w:rPr>
        <w:t>korupcijos rizikos analizės atlikimo tvarkos aprašą (pri</w:t>
      </w:r>
      <w:r>
        <w:rPr>
          <w:color w:val="000000"/>
          <w:szCs w:val="24"/>
          <w:lang w:eastAsia="lt-LT"/>
        </w:rPr>
        <w:t>dedama).</w:t>
      </w:r>
    </w:p>
    <w:p w14:paraId="6A5D2826" w14:textId="77777777" w:rsidR="00D81F3E" w:rsidRDefault="0042394B">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w:t>
      </w:r>
      <w:r>
        <w:rPr>
          <w:color w:val="000000"/>
          <w:spacing w:val="58"/>
          <w:szCs w:val="24"/>
          <w:lang w:eastAsia="lt-LT"/>
        </w:rPr>
        <w:t>Pripažįstu</w:t>
      </w:r>
      <w:r>
        <w:rPr>
          <w:color w:val="000000"/>
          <w:szCs w:val="24"/>
          <w:lang w:eastAsia="lt-LT"/>
        </w:rPr>
        <w:t xml:space="preserve"> netekusiais galios:</w:t>
      </w:r>
    </w:p>
    <w:p w14:paraId="6A5D2827" w14:textId="77777777" w:rsidR="00D81F3E" w:rsidRDefault="0042394B">
      <w:pPr>
        <w:widowControl w:val="0"/>
        <w:ind w:firstLine="567"/>
        <w:jc w:val="both"/>
        <w:rPr>
          <w:color w:val="000000"/>
          <w:spacing w:val="-6"/>
          <w:szCs w:val="24"/>
          <w:lang w:eastAsia="lt-LT"/>
        </w:rPr>
      </w:pPr>
      <w:r>
        <w:rPr>
          <w:color w:val="000000"/>
          <w:spacing w:val="-6"/>
          <w:szCs w:val="24"/>
          <w:lang w:eastAsia="lt-LT"/>
        </w:rPr>
        <w:t>2.1</w:t>
      </w:r>
      <w:r>
        <w:rPr>
          <w:color w:val="000000"/>
          <w:spacing w:val="-6"/>
          <w:szCs w:val="24"/>
          <w:lang w:eastAsia="lt-LT"/>
        </w:rPr>
        <w:t>. Lietuvos Respublikos specialiųjų tyrimų tarnybos direktoriaus 2011 m. birželio 20 d. įsakymą Nr. 2-208 „Dėl Lietuvos Respublikos specialiųjų tyrimų tarnybos pareigūnų atliekamos korupcijos rizikos analizės atlikimo tvarkos aprašo patvirtinimo“ (Žin., 201</w:t>
      </w:r>
      <w:r>
        <w:rPr>
          <w:color w:val="000000"/>
          <w:spacing w:val="-6"/>
          <w:szCs w:val="24"/>
          <w:lang w:eastAsia="lt-LT"/>
        </w:rPr>
        <w:t xml:space="preserve">1, Nr. </w:t>
      </w:r>
      <w:hyperlink r:id="rId12" w:tgtFrame="_blank" w:history="1">
        <w:r>
          <w:rPr>
            <w:color w:val="0000FF" w:themeColor="hyperlink"/>
            <w:spacing w:val="-6"/>
            <w:szCs w:val="24"/>
            <w:u w:val="single"/>
            <w:lang w:eastAsia="lt-LT"/>
          </w:rPr>
          <w:t>92-4398</w:t>
        </w:r>
      </w:hyperlink>
      <w:r>
        <w:rPr>
          <w:color w:val="000000"/>
          <w:spacing w:val="-6"/>
          <w:szCs w:val="24"/>
          <w:lang w:eastAsia="lt-LT"/>
        </w:rPr>
        <w:t xml:space="preserve">); </w:t>
      </w:r>
    </w:p>
    <w:p w14:paraId="6A5D2828" w14:textId="77777777" w:rsidR="00D81F3E" w:rsidRDefault="0042394B">
      <w:pPr>
        <w:widowControl w:val="0"/>
        <w:ind w:firstLine="567"/>
        <w:jc w:val="both"/>
        <w:rPr>
          <w:color w:val="000000"/>
          <w:spacing w:val="-6"/>
          <w:szCs w:val="24"/>
          <w:lang w:eastAsia="lt-LT"/>
        </w:rPr>
      </w:pPr>
      <w:r>
        <w:rPr>
          <w:color w:val="000000"/>
          <w:spacing w:val="-6"/>
          <w:szCs w:val="24"/>
          <w:lang w:eastAsia="lt-LT"/>
        </w:rPr>
        <w:t>2.2</w:t>
      </w:r>
      <w:r>
        <w:rPr>
          <w:color w:val="000000"/>
          <w:spacing w:val="-6"/>
          <w:szCs w:val="24"/>
          <w:lang w:eastAsia="lt-LT"/>
        </w:rPr>
        <w:t>. Lietuvos Respublikos specialiųjų tyrimų tarnybos direktoriaus 2011 m. liepos 28 d. įsakymą Nr. 2-255 „Dėl atsakingų Lietuvos Respublikos specialiųjų t</w:t>
      </w:r>
      <w:r>
        <w:rPr>
          <w:color w:val="000000"/>
          <w:spacing w:val="-6"/>
          <w:szCs w:val="24"/>
          <w:lang w:eastAsia="lt-LT"/>
        </w:rPr>
        <w:t>yrimų tarnybos pareigūnų atliekant korupcijos rizikos analizę paskyrimo“.</w:t>
      </w:r>
    </w:p>
    <w:p w14:paraId="6A5D282A" w14:textId="062EE0D6" w:rsidR="00D81F3E" w:rsidRDefault="0042394B" w:rsidP="0042394B">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w:t>
      </w:r>
      <w:r>
        <w:rPr>
          <w:color w:val="000000"/>
          <w:spacing w:val="58"/>
          <w:szCs w:val="24"/>
          <w:lang w:eastAsia="lt-LT"/>
        </w:rPr>
        <w:t>Pavedu</w:t>
      </w:r>
      <w:r>
        <w:rPr>
          <w:color w:val="000000"/>
          <w:szCs w:val="24"/>
          <w:lang w:eastAsia="lt-LT"/>
        </w:rPr>
        <w:t xml:space="preserve"> Lietuvos Respublikos specialiųjų tyrimų tarnybos Administravimo valdybos Bendrajam skyriui pateikti šį įsakymą paskelbti leidinyje „Valstybės žinios“, o Lietuvos Resp</w:t>
      </w:r>
      <w:r>
        <w:rPr>
          <w:color w:val="000000"/>
          <w:szCs w:val="24"/>
          <w:lang w:eastAsia="lt-LT"/>
        </w:rPr>
        <w:t>ublikos specialiųjų tyrimų tarnybos Viešųjų ryšių skyriui paskelbti šį įsakymą Lietuvos Respublikos specialiųjų tyrimų tarnybos interneto svetainėje.</w:t>
      </w:r>
    </w:p>
    <w:p w14:paraId="73D65DAF" w14:textId="73B939EC" w:rsidR="0042394B" w:rsidRDefault="0042394B">
      <w:pPr>
        <w:widowControl w:val="0"/>
        <w:tabs>
          <w:tab w:val="right" w:pos="9071"/>
        </w:tabs>
      </w:pPr>
    </w:p>
    <w:p w14:paraId="6148FB86" w14:textId="77777777" w:rsidR="0042394B" w:rsidRDefault="0042394B">
      <w:pPr>
        <w:widowControl w:val="0"/>
        <w:tabs>
          <w:tab w:val="right" w:pos="9071"/>
        </w:tabs>
      </w:pPr>
    </w:p>
    <w:p w14:paraId="47E636EC" w14:textId="77777777" w:rsidR="0042394B" w:rsidRDefault="0042394B">
      <w:pPr>
        <w:widowControl w:val="0"/>
        <w:tabs>
          <w:tab w:val="right" w:pos="9071"/>
        </w:tabs>
      </w:pPr>
    </w:p>
    <w:p w14:paraId="6A5D282E" w14:textId="31ED7EA9" w:rsidR="00D81F3E" w:rsidRPr="0042394B" w:rsidRDefault="0042394B" w:rsidP="0042394B">
      <w:pPr>
        <w:widowControl w:val="0"/>
        <w:tabs>
          <w:tab w:val="right" w:pos="9071"/>
        </w:tabs>
        <w:rPr>
          <w:caps/>
          <w:color w:val="000000"/>
          <w:szCs w:val="24"/>
          <w:lang w:eastAsia="lt-LT"/>
        </w:rPr>
      </w:pPr>
      <w:r>
        <w:rPr>
          <w:caps/>
          <w:color w:val="000000"/>
          <w:szCs w:val="24"/>
          <w:lang w:eastAsia="lt-LT"/>
        </w:rPr>
        <w:t xml:space="preserve">Direktorius </w:t>
      </w:r>
      <w:r>
        <w:rPr>
          <w:caps/>
          <w:color w:val="000000"/>
          <w:szCs w:val="24"/>
          <w:lang w:eastAsia="lt-LT"/>
        </w:rPr>
        <w:tab/>
        <w:t xml:space="preserve">Saulius Urbanavičius </w:t>
      </w:r>
    </w:p>
    <w:p w14:paraId="17B69323" w14:textId="77777777" w:rsidR="0042394B" w:rsidRDefault="0042394B">
      <w:pPr>
        <w:widowControl w:val="0"/>
        <w:ind w:left="4535"/>
      </w:pPr>
    </w:p>
    <w:p w14:paraId="329BC4FF" w14:textId="77777777" w:rsidR="0042394B" w:rsidRDefault="0042394B">
      <w:r>
        <w:br w:type="page"/>
      </w:r>
    </w:p>
    <w:p w14:paraId="6A5D282F" w14:textId="523767F3" w:rsidR="00D81F3E" w:rsidRDefault="0042394B">
      <w:pPr>
        <w:widowControl w:val="0"/>
        <w:ind w:left="4535"/>
        <w:rPr>
          <w:color w:val="000000"/>
          <w:szCs w:val="24"/>
          <w:lang w:eastAsia="lt-LT"/>
        </w:rPr>
      </w:pPr>
      <w:r>
        <w:rPr>
          <w:color w:val="000000"/>
          <w:szCs w:val="24"/>
          <w:lang w:eastAsia="lt-LT"/>
        </w:rPr>
        <w:lastRenderedPageBreak/>
        <w:t>PATVIRTINTA</w:t>
      </w:r>
    </w:p>
    <w:p w14:paraId="6A5D2830" w14:textId="77777777" w:rsidR="00D81F3E" w:rsidRDefault="0042394B">
      <w:pPr>
        <w:widowControl w:val="0"/>
        <w:ind w:left="4535"/>
        <w:rPr>
          <w:color w:val="000000"/>
          <w:szCs w:val="24"/>
          <w:lang w:eastAsia="lt-LT"/>
        </w:rPr>
      </w:pPr>
      <w:r>
        <w:rPr>
          <w:color w:val="000000"/>
          <w:szCs w:val="24"/>
          <w:lang w:eastAsia="lt-LT"/>
        </w:rPr>
        <w:t>Lietuvos Respublikos specialių</w:t>
      </w:r>
      <w:r>
        <w:rPr>
          <w:color w:val="000000"/>
          <w:szCs w:val="24"/>
          <w:lang w:eastAsia="lt-LT"/>
        </w:rPr>
        <w:t>jų tyrimų tarnybos direktoriaus 2013 m. kovo 29 d. įsakymu Nr. 2-102</w:t>
      </w:r>
    </w:p>
    <w:p w14:paraId="6A5D2831" w14:textId="77777777" w:rsidR="00D81F3E" w:rsidRDefault="00D81F3E">
      <w:pPr>
        <w:widowControl w:val="0"/>
        <w:ind w:firstLine="567"/>
        <w:jc w:val="both"/>
        <w:rPr>
          <w:color w:val="000000"/>
          <w:szCs w:val="24"/>
          <w:lang w:eastAsia="lt-LT"/>
        </w:rPr>
      </w:pPr>
    </w:p>
    <w:p w14:paraId="6A5D2832" w14:textId="77777777" w:rsidR="00D81F3E" w:rsidRDefault="0042394B">
      <w:pPr>
        <w:widowControl w:val="0"/>
        <w:jc w:val="center"/>
        <w:rPr>
          <w:b/>
          <w:bCs/>
          <w:caps/>
          <w:color w:val="000000"/>
          <w:szCs w:val="24"/>
          <w:lang w:eastAsia="lt-LT"/>
        </w:rPr>
      </w:pPr>
      <w:r>
        <w:rPr>
          <w:b/>
          <w:bCs/>
          <w:caps/>
          <w:color w:val="000000"/>
          <w:szCs w:val="24"/>
          <w:lang w:eastAsia="lt-LT"/>
        </w:rPr>
        <w:t>LIETUVOS RESPUBLIKOS SPECIALIŲJŲ TYRIMŲ TARNYBOS PAREIGŪNŲ ATLIEKAMO IŠVADŲ DĖL KORUPCIJOS PASIREIŠKIMO TIKIMYBIŲ VERTINIMo ir KORUPCIJOS RIZIKOS ANALIZĖS ATLIKIMO TVARKOS APRAŠAS</w:t>
      </w:r>
    </w:p>
    <w:p w14:paraId="6A5D2833" w14:textId="77777777" w:rsidR="00D81F3E" w:rsidRDefault="00D81F3E">
      <w:pPr>
        <w:widowControl w:val="0"/>
        <w:jc w:val="center"/>
        <w:rPr>
          <w:b/>
          <w:bCs/>
          <w:caps/>
          <w:color w:val="000000"/>
          <w:szCs w:val="24"/>
          <w:lang w:eastAsia="lt-LT"/>
        </w:rPr>
      </w:pPr>
    </w:p>
    <w:p w14:paraId="6A5D2834" w14:textId="77777777" w:rsidR="00D81F3E" w:rsidRDefault="0042394B">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6A5D2835" w14:textId="77777777" w:rsidR="00D81F3E" w:rsidRDefault="00D81F3E">
      <w:pPr>
        <w:widowControl w:val="0"/>
        <w:ind w:firstLine="567"/>
        <w:jc w:val="both"/>
        <w:rPr>
          <w:color w:val="000000"/>
          <w:szCs w:val="24"/>
          <w:lang w:eastAsia="lt-LT"/>
        </w:rPr>
      </w:pPr>
    </w:p>
    <w:p w14:paraId="6A5D2836" w14:textId="77777777" w:rsidR="00D81F3E" w:rsidRDefault="0042394B">
      <w:pPr>
        <w:widowControl w:val="0"/>
        <w:ind w:firstLine="567"/>
        <w:jc w:val="both"/>
        <w:rPr>
          <w:color w:val="000000"/>
          <w:szCs w:val="24"/>
          <w:lang w:eastAsia="lt-LT"/>
        </w:rPr>
      </w:pPr>
      <w:r>
        <w:rPr>
          <w:color w:val="000000"/>
          <w:szCs w:val="24"/>
          <w:lang w:eastAsia="lt-LT"/>
        </w:rPr>
        <w:t>1</w:t>
      </w:r>
      <w:r>
        <w:rPr>
          <w:color w:val="000000"/>
          <w:szCs w:val="24"/>
          <w:lang w:eastAsia="lt-LT"/>
        </w:rPr>
        <w:t>. Lietuvos Respublikos specialiųjų tyrimų tarnybos (toliau – STT) pareigūnų atliekamo išvadų dėl korupcijos pasireiškimo tikimybių vertinimo</w:t>
      </w:r>
      <w:r>
        <w:rPr>
          <w:b/>
          <w:bCs/>
          <w:caps/>
          <w:color w:val="000000"/>
          <w:szCs w:val="24"/>
          <w:lang w:eastAsia="lt-LT"/>
        </w:rPr>
        <w:t xml:space="preserve"> </w:t>
      </w:r>
      <w:r>
        <w:rPr>
          <w:color w:val="000000"/>
          <w:szCs w:val="24"/>
          <w:lang w:eastAsia="lt-LT"/>
        </w:rPr>
        <w:t>ir</w:t>
      </w:r>
      <w:r>
        <w:rPr>
          <w:b/>
          <w:bCs/>
          <w:caps/>
          <w:color w:val="000000"/>
          <w:szCs w:val="24"/>
          <w:lang w:eastAsia="lt-LT"/>
        </w:rPr>
        <w:t xml:space="preserve"> </w:t>
      </w:r>
      <w:r>
        <w:rPr>
          <w:color w:val="000000"/>
          <w:szCs w:val="24"/>
          <w:lang w:eastAsia="lt-LT"/>
        </w:rPr>
        <w:t>korupcijos rizikos analizės atlikimo tvarkos aprašas (toliau – Aprašas) nustato STT</w:t>
      </w:r>
      <w:r>
        <w:rPr>
          <w:color w:val="000000"/>
          <w:szCs w:val="24"/>
          <w:lang w:eastAsia="lt-LT"/>
        </w:rPr>
        <w:t xml:space="preserve"> pareigūnų atliekamo išvadų dėl korupcijos pasireiškimo tikimybių vertinimo ir korupcijos rizikos analizės atlikimo tvarką, motyvuotos išvados dėl korupcijos rizikos analizės formą ir turinį.</w:t>
      </w:r>
    </w:p>
    <w:p w14:paraId="6A5D2837" w14:textId="77777777" w:rsidR="00D81F3E" w:rsidRDefault="0042394B">
      <w:pPr>
        <w:widowControl w:val="0"/>
        <w:ind w:firstLine="567"/>
        <w:jc w:val="both"/>
        <w:rPr>
          <w:color w:val="000000"/>
          <w:szCs w:val="24"/>
          <w:lang w:eastAsia="lt-LT"/>
        </w:rPr>
      </w:pPr>
    </w:p>
    <w:p w14:paraId="6A5D2838" w14:textId="77777777" w:rsidR="00D81F3E" w:rsidRDefault="0042394B">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KORUPCIJOS RIZIKOS ANALIZĖS ATLIKIMO BŪTINUMO NUSTATY</w:t>
      </w:r>
      <w:r>
        <w:rPr>
          <w:b/>
          <w:bCs/>
          <w:caps/>
          <w:color w:val="000000"/>
          <w:szCs w:val="24"/>
          <w:lang w:eastAsia="lt-LT"/>
        </w:rPr>
        <w:t xml:space="preserve">MAS, GAVUS IŠVADĄ DĖL DIDELĖS KORUPCIJOS PASIREIŠKIMO TIKIMYBĖS </w:t>
      </w:r>
    </w:p>
    <w:p w14:paraId="6A5D2839" w14:textId="77777777" w:rsidR="00D81F3E" w:rsidRDefault="00D81F3E">
      <w:pPr>
        <w:widowControl w:val="0"/>
        <w:ind w:firstLine="567"/>
        <w:jc w:val="both"/>
        <w:rPr>
          <w:color w:val="000000"/>
          <w:szCs w:val="24"/>
          <w:lang w:eastAsia="lt-LT"/>
        </w:rPr>
      </w:pPr>
    </w:p>
    <w:p w14:paraId="6A5D283A" w14:textId="77777777" w:rsidR="00D81F3E" w:rsidRDefault="0042394B">
      <w:pPr>
        <w:widowControl w:val="0"/>
        <w:ind w:firstLine="567"/>
        <w:jc w:val="both"/>
        <w:rPr>
          <w:color w:val="000000"/>
          <w:szCs w:val="24"/>
          <w:lang w:eastAsia="lt-LT"/>
        </w:rPr>
      </w:pPr>
      <w:r>
        <w:rPr>
          <w:color w:val="000000"/>
          <w:szCs w:val="24"/>
          <w:lang w:eastAsia="lt-LT"/>
        </w:rPr>
        <w:t>2</w:t>
      </w:r>
      <w:r>
        <w:rPr>
          <w:color w:val="000000"/>
          <w:szCs w:val="24"/>
          <w:lang w:eastAsia="lt-LT"/>
        </w:rPr>
        <w:t>. Valstybės ir savivaldybių įstaigų išvadas dėl didelės korupcijos pasireiškimo tikimybės vertina STT Korupcijos prevencijos valdybos Korupcijos rizikos skyriaus, STT teritorinių padali</w:t>
      </w:r>
      <w:r>
        <w:rPr>
          <w:color w:val="000000"/>
          <w:szCs w:val="24"/>
          <w:lang w:eastAsia="lt-LT"/>
        </w:rPr>
        <w:t>nių Korupcijos prevencijos poskyrių pareigūnai (toliau – korupcijos prevencijos pareigūnai).</w:t>
      </w:r>
    </w:p>
    <w:p w14:paraId="6A5D283B" w14:textId="77777777" w:rsidR="00D81F3E" w:rsidRDefault="0042394B">
      <w:pPr>
        <w:widowControl w:val="0"/>
        <w:ind w:firstLine="567"/>
        <w:jc w:val="both"/>
        <w:rPr>
          <w:color w:val="000000"/>
          <w:spacing w:val="-2"/>
          <w:szCs w:val="24"/>
          <w:lang w:eastAsia="lt-LT"/>
        </w:rPr>
      </w:pPr>
      <w:r>
        <w:rPr>
          <w:color w:val="000000"/>
          <w:spacing w:val="-2"/>
          <w:szCs w:val="24"/>
          <w:lang w:eastAsia="lt-LT"/>
        </w:rPr>
        <w:t>3</w:t>
      </w:r>
      <w:r>
        <w:rPr>
          <w:color w:val="000000"/>
          <w:spacing w:val="-2"/>
          <w:szCs w:val="24"/>
          <w:lang w:eastAsia="lt-LT"/>
        </w:rPr>
        <w:t>. Korupcijos prevencijos pareigūnai, STT darbo reglamento nustatyta tvarka gavę pavedimą įvertinti valstybės ir savivaldybės įstaigų motyvuotas išvadas dėl įs</w:t>
      </w:r>
      <w:r>
        <w:rPr>
          <w:color w:val="000000"/>
          <w:spacing w:val="-2"/>
          <w:szCs w:val="24"/>
          <w:lang w:eastAsia="lt-LT"/>
        </w:rPr>
        <w:t>taigų veiklos sričių, kuriose egzistuoja didelė korupcijos pasireiškimo tikimybė, įvertina šias valstybės ar savivaldybės veiklos sritis, nustato jų atitiktį Lietuvos Respublikos korupcijos prevencijos įstatymo 6 straipsnio 3, 5 dalyse nustatytiems kriteri</w:t>
      </w:r>
      <w:r>
        <w:rPr>
          <w:color w:val="000000"/>
          <w:spacing w:val="-2"/>
          <w:szCs w:val="24"/>
          <w:lang w:eastAsia="lt-LT"/>
        </w:rPr>
        <w:t>jams ir surašo korupcijos rizikos analizės atlikimo būtinumo nustatymo išvadą, kurioje:</w:t>
      </w:r>
    </w:p>
    <w:p w14:paraId="6A5D283C" w14:textId="77777777" w:rsidR="00D81F3E" w:rsidRDefault="0042394B">
      <w:pPr>
        <w:widowControl w:val="0"/>
        <w:ind w:firstLine="567"/>
        <w:jc w:val="both"/>
        <w:rPr>
          <w:color w:val="000000"/>
          <w:szCs w:val="24"/>
          <w:lang w:eastAsia="lt-LT"/>
        </w:rPr>
      </w:pPr>
      <w:r>
        <w:rPr>
          <w:color w:val="000000"/>
          <w:szCs w:val="24"/>
          <w:lang w:eastAsia="lt-LT"/>
        </w:rPr>
        <w:t>3.1</w:t>
      </w:r>
      <w:r>
        <w:rPr>
          <w:color w:val="000000"/>
          <w:szCs w:val="24"/>
          <w:lang w:eastAsia="lt-LT"/>
        </w:rPr>
        <w:t>. pateikia informaciją, kuriose valstybės ar savivaldybės įstaigos veiklos srityse buvo nustatyta didelė korupcijos pasireiškimo tikimybė;</w:t>
      </w:r>
    </w:p>
    <w:p w14:paraId="6A5D283D" w14:textId="77777777" w:rsidR="00D81F3E" w:rsidRDefault="0042394B">
      <w:pPr>
        <w:widowControl w:val="0"/>
        <w:ind w:firstLine="567"/>
        <w:jc w:val="both"/>
        <w:rPr>
          <w:color w:val="000000"/>
          <w:szCs w:val="24"/>
          <w:lang w:eastAsia="lt-LT"/>
        </w:rPr>
      </w:pPr>
      <w:r>
        <w:rPr>
          <w:color w:val="000000"/>
          <w:szCs w:val="24"/>
          <w:lang w:eastAsia="lt-LT"/>
        </w:rPr>
        <w:t>3.2</w:t>
      </w:r>
      <w:r>
        <w:rPr>
          <w:color w:val="000000"/>
          <w:szCs w:val="24"/>
          <w:lang w:eastAsia="lt-LT"/>
        </w:rPr>
        <w:t>. pateikia nuomon</w:t>
      </w:r>
      <w:r>
        <w:rPr>
          <w:color w:val="000000"/>
          <w:szCs w:val="24"/>
          <w:lang w:eastAsia="lt-LT"/>
        </w:rPr>
        <w:t>ę, ar valstybės ar savivaldybės įstaigos veiklos sritys atitinka bent vieną iš Lietuvos Respublikos korupcijos prevencijos įstatymo 6 straipsnio 3 dalyje nustatytų kriterijų;</w:t>
      </w:r>
    </w:p>
    <w:p w14:paraId="6A5D283E" w14:textId="77777777" w:rsidR="00D81F3E" w:rsidRDefault="0042394B">
      <w:pPr>
        <w:widowControl w:val="0"/>
        <w:ind w:firstLine="567"/>
        <w:jc w:val="both"/>
        <w:rPr>
          <w:color w:val="000000"/>
          <w:szCs w:val="24"/>
          <w:lang w:eastAsia="lt-LT"/>
        </w:rPr>
      </w:pPr>
      <w:r>
        <w:rPr>
          <w:color w:val="000000"/>
          <w:szCs w:val="24"/>
          <w:lang w:eastAsia="lt-LT"/>
        </w:rPr>
        <w:t>3.3</w:t>
      </w:r>
      <w:r>
        <w:rPr>
          <w:color w:val="000000"/>
          <w:szCs w:val="24"/>
          <w:lang w:eastAsia="lt-LT"/>
        </w:rPr>
        <w:t>. pateikia nuomonę, ar valstybės ar savivaldybės įstaigos veiklos sritys a</w:t>
      </w:r>
      <w:r>
        <w:rPr>
          <w:color w:val="000000"/>
          <w:szCs w:val="24"/>
          <w:lang w:eastAsia="lt-LT"/>
        </w:rPr>
        <w:t>titinka bent vieną iš Lietuvos Respublikos korupcijos prevencijos įstatymo 6 straipsnio 5 dalyje nustatytų kriterijų;</w:t>
      </w:r>
    </w:p>
    <w:p w14:paraId="6A5D283F" w14:textId="77777777" w:rsidR="00D81F3E" w:rsidRDefault="0042394B">
      <w:pPr>
        <w:widowControl w:val="0"/>
        <w:ind w:firstLine="567"/>
        <w:jc w:val="both"/>
        <w:rPr>
          <w:color w:val="000000"/>
          <w:szCs w:val="24"/>
          <w:lang w:eastAsia="lt-LT"/>
        </w:rPr>
      </w:pPr>
      <w:r>
        <w:rPr>
          <w:color w:val="000000"/>
          <w:szCs w:val="24"/>
          <w:lang w:eastAsia="lt-LT"/>
        </w:rPr>
        <w:t>3.4</w:t>
      </w:r>
      <w:r>
        <w:rPr>
          <w:color w:val="000000"/>
          <w:szCs w:val="24"/>
          <w:lang w:eastAsia="lt-LT"/>
        </w:rPr>
        <w:t>. nurodo, ar valstybės ar savivaldybės įstaigos veiklos sritis atitinka STT korupcijos prevencijos ir korupcijos rizikos analizių a</w:t>
      </w:r>
      <w:r>
        <w:rPr>
          <w:color w:val="000000"/>
          <w:szCs w:val="24"/>
          <w:lang w:eastAsia="lt-LT"/>
        </w:rPr>
        <w:t>tlikimo srities prioritetus, jei valstybės ar savivaldybės įstaigos veiklos srityje yra didelė korupcijos pasireiškimo tikimybė ir ši veiklos sritis atitinka bent vieną iš Lietuvos Respublikos korupcijos prevencijos įstatymo 6 straipsnio 5 dalyje nustatytų</w:t>
      </w:r>
      <w:r>
        <w:rPr>
          <w:color w:val="000000"/>
          <w:szCs w:val="24"/>
          <w:lang w:eastAsia="lt-LT"/>
        </w:rPr>
        <w:t xml:space="preserve"> kriterijų;</w:t>
      </w:r>
    </w:p>
    <w:p w14:paraId="6A5D2840" w14:textId="77777777" w:rsidR="00D81F3E" w:rsidRDefault="0042394B">
      <w:pPr>
        <w:widowControl w:val="0"/>
        <w:ind w:firstLine="567"/>
        <w:jc w:val="both"/>
        <w:rPr>
          <w:color w:val="000000"/>
          <w:szCs w:val="24"/>
          <w:lang w:eastAsia="lt-LT"/>
        </w:rPr>
      </w:pPr>
      <w:r>
        <w:rPr>
          <w:color w:val="000000"/>
          <w:szCs w:val="24"/>
          <w:lang w:eastAsia="lt-LT"/>
        </w:rPr>
        <w:t>3.5</w:t>
      </w:r>
      <w:r>
        <w:rPr>
          <w:color w:val="000000"/>
          <w:szCs w:val="24"/>
          <w:lang w:eastAsia="lt-LT"/>
        </w:rPr>
        <w:t xml:space="preserve">. pateikia nuomonę dėl valstybės ir savivaldybės įstaigų </w:t>
      </w:r>
      <w:r>
        <w:rPr>
          <w:color w:val="000000"/>
          <w:spacing w:val="-2"/>
          <w:szCs w:val="24"/>
          <w:lang w:eastAsia="lt-LT"/>
        </w:rPr>
        <w:t>motyvuotos išvados dėl įstaigų veiklos sričių, kuriose egzistuoja didelė korupcijos pasireiškimo tikimybė, formos ir turinio atitikties nustatytiems reikalavimams;</w:t>
      </w:r>
    </w:p>
    <w:p w14:paraId="6A5D2841" w14:textId="77777777" w:rsidR="00D81F3E" w:rsidRDefault="0042394B">
      <w:pPr>
        <w:widowControl w:val="0"/>
        <w:ind w:firstLine="567"/>
        <w:jc w:val="both"/>
        <w:rPr>
          <w:color w:val="000000"/>
          <w:szCs w:val="24"/>
          <w:lang w:eastAsia="lt-LT"/>
        </w:rPr>
      </w:pPr>
      <w:r>
        <w:rPr>
          <w:color w:val="000000"/>
          <w:szCs w:val="24"/>
          <w:lang w:eastAsia="lt-LT"/>
        </w:rPr>
        <w:t>3.6</w:t>
      </w:r>
      <w:r>
        <w:rPr>
          <w:color w:val="000000"/>
          <w:szCs w:val="24"/>
          <w:lang w:eastAsia="lt-LT"/>
        </w:rPr>
        <w:t>. siūlo a</w:t>
      </w:r>
      <w:r>
        <w:rPr>
          <w:color w:val="000000"/>
          <w:szCs w:val="24"/>
          <w:lang w:eastAsia="lt-LT"/>
        </w:rPr>
        <w:t>tlikti korupcijos rizikos analizę ar neatlikti korupcijos rizikos analizės.</w:t>
      </w:r>
    </w:p>
    <w:p w14:paraId="6A5D2842" w14:textId="77777777" w:rsidR="00D81F3E" w:rsidRDefault="0042394B">
      <w:pPr>
        <w:widowControl w:val="0"/>
        <w:ind w:firstLine="567"/>
        <w:jc w:val="both"/>
        <w:rPr>
          <w:color w:val="000000"/>
          <w:szCs w:val="24"/>
          <w:lang w:eastAsia="lt-LT"/>
        </w:rPr>
      </w:pPr>
      <w:r>
        <w:rPr>
          <w:color w:val="000000"/>
          <w:szCs w:val="24"/>
          <w:lang w:eastAsia="lt-LT"/>
        </w:rPr>
        <w:t>4</w:t>
      </w:r>
      <w:r>
        <w:rPr>
          <w:color w:val="000000"/>
          <w:szCs w:val="24"/>
          <w:lang w:eastAsia="lt-LT"/>
        </w:rPr>
        <w:t>. Aprašo 3 punkte nurodyta korupcijos rizikos analizės atlikimo būtinumo nustatymo išvada surašoma per 10 darbo dienų nuo Aprašo 3 punkte nurodytos išvados gavimo STT dienos</w:t>
      </w:r>
      <w:r>
        <w:rPr>
          <w:color w:val="000000"/>
          <w:szCs w:val="24"/>
          <w:lang w:eastAsia="lt-LT"/>
        </w:rPr>
        <w:t xml:space="preserve"> ir suderinus su tiesioginiu vadovu, Korupcijos prevencijos valdybos viršininku (jei išvadą surašo STT teritorinės valdybos pareigūnas, tai ji suderinama ir su STT teritorinės </w:t>
      </w:r>
      <w:r>
        <w:rPr>
          <w:color w:val="000000"/>
          <w:szCs w:val="24"/>
          <w:lang w:eastAsia="lt-LT"/>
        </w:rPr>
        <w:lastRenderedPageBreak/>
        <w:t>valdybos viršininku) pateikiama direktoriaus pavaduotojui, jo nesant, STT direkt</w:t>
      </w:r>
      <w:r>
        <w:rPr>
          <w:color w:val="000000"/>
          <w:szCs w:val="24"/>
          <w:lang w:eastAsia="lt-LT"/>
        </w:rPr>
        <w:t xml:space="preserve">oriui. </w:t>
      </w:r>
    </w:p>
    <w:p w14:paraId="6A5D2843" w14:textId="77777777" w:rsidR="00D81F3E" w:rsidRDefault="0042394B">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Jei korupcijos prevencijos pareigūnui trūksta informacijos, reikalingos surašyti Aprašo 3 punkte nurodytą korupcijos rizikos analizės atlikimo būtinumo nustatymo išvadą, tai ne vėliau kaip per 5 darbo dienas nuo Aprašo 3 punkte nurodytos </w:t>
      </w:r>
      <w:r>
        <w:rPr>
          <w:color w:val="000000"/>
          <w:szCs w:val="24"/>
          <w:lang w:eastAsia="lt-LT"/>
        </w:rPr>
        <w:t xml:space="preserve">išvados gavimo STT dienos jis turi siūlyti kreiptis į reikiamą valstybės ar savivaldybės įstaigą dėl papildomos informacijos gavimo. Tokiu atveju Aprašo 3 punkte nurodyta korupcijos rizikos analizės atlikimo būtinumo nustatymo išvada surašoma per 10 darbo </w:t>
      </w:r>
      <w:r>
        <w:rPr>
          <w:color w:val="000000"/>
          <w:szCs w:val="24"/>
          <w:lang w:eastAsia="lt-LT"/>
        </w:rPr>
        <w:t>dienų nuo papildomos informacijos gavimo STT dienos.</w:t>
      </w:r>
    </w:p>
    <w:p w14:paraId="6A5D2844" w14:textId="77777777" w:rsidR="00D81F3E" w:rsidRDefault="0042394B">
      <w:pPr>
        <w:widowControl w:val="0"/>
        <w:ind w:firstLine="567"/>
        <w:jc w:val="both"/>
        <w:rPr>
          <w:color w:val="000000"/>
          <w:spacing w:val="2"/>
          <w:szCs w:val="24"/>
          <w:lang w:eastAsia="lt-LT"/>
        </w:rPr>
      </w:pPr>
      <w:r>
        <w:rPr>
          <w:color w:val="000000"/>
          <w:szCs w:val="24"/>
          <w:lang w:eastAsia="lt-LT"/>
        </w:rPr>
        <w:t>6</w:t>
      </w:r>
      <w:r>
        <w:rPr>
          <w:color w:val="000000"/>
          <w:spacing w:val="2"/>
          <w:szCs w:val="24"/>
          <w:lang w:eastAsia="lt-LT"/>
        </w:rPr>
        <w:t>. STT direktoriaus pavaduotojas,</w:t>
      </w:r>
      <w:r>
        <w:rPr>
          <w:color w:val="000000"/>
          <w:szCs w:val="24"/>
          <w:lang w:eastAsia="lt-LT"/>
        </w:rPr>
        <w:t xml:space="preserve"> jo nesant, STT direktorius</w:t>
      </w:r>
      <w:r>
        <w:rPr>
          <w:color w:val="000000"/>
          <w:spacing w:val="2"/>
          <w:szCs w:val="24"/>
          <w:lang w:eastAsia="lt-LT"/>
        </w:rPr>
        <w:t xml:space="preserve"> sprendimą (rezoliucija ant korupcijos rizikos analizės atlikimo būtinumo nustatymo išvados) dėl korupcijos rizikos analizės atlikimo ar ne</w:t>
      </w:r>
      <w:r>
        <w:rPr>
          <w:color w:val="000000"/>
          <w:spacing w:val="2"/>
          <w:szCs w:val="24"/>
          <w:lang w:eastAsia="lt-LT"/>
        </w:rPr>
        <w:t xml:space="preserve">atlikimo valstybės ar savivaldybės įstaigos veiklos srityje priima per vieną mėnesį nuo </w:t>
      </w:r>
      <w:r>
        <w:rPr>
          <w:color w:val="000000"/>
          <w:szCs w:val="24"/>
          <w:lang w:eastAsia="lt-LT"/>
        </w:rPr>
        <w:t xml:space="preserve">valstybės ar savivaldybės įstaigos </w:t>
      </w:r>
      <w:r>
        <w:rPr>
          <w:color w:val="000000"/>
          <w:spacing w:val="-2"/>
          <w:szCs w:val="24"/>
          <w:lang w:eastAsia="lt-LT"/>
        </w:rPr>
        <w:t xml:space="preserve">motyvuotos išvados dėl įstaigos veiklos sričių, kuriose egzistuoja didelė korupcijos pasireiškimo tikimybė, </w:t>
      </w:r>
      <w:r>
        <w:rPr>
          <w:color w:val="000000"/>
          <w:spacing w:val="2"/>
          <w:szCs w:val="24"/>
          <w:lang w:eastAsia="lt-LT"/>
        </w:rPr>
        <w:t>gavimo STT dienos.</w:t>
      </w:r>
    </w:p>
    <w:p w14:paraId="6A5D2845" w14:textId="77777777" w:rsidR="00D81F3E" w:rsidRDefault="0042394B">
      <w:pPr>
        <w:widowControl w:val="0"/>
        <w:ind w:firstLine="567"/>
        <w:jc w:val="both"/>
        <w:rPr>
          <w:color w:val="000000"/>
          <w:szCs w:val="24"/>
          <w:lang w:eastAsia="lt-LT"/>
        </w:rPr>
      </w:pPr>
    </w:p>
    <w:p w14:paraId="6A5D2846" w14:textId="1CE13DCF" w:rsidR="00D81F3E" w:rsidRDefault="0042394B">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KORUPCIJOS RIZIKOS ANALIZĖS ATLIKIMO BŪTINUMO NUSTATYMAS, GAVUS PAVEDIMĄ</w:t>
      </w:r>
    </w:p>
    <w:p w14:paraId="6A5D2847" w14:textId="77777777" w:rsidR="00D81F3E" w:rsidRDefault="00D81F3E">
      <w:pPr>
        <w:widowControl w:val="0"/>
        <w:ind w:firstLine="567"/>
        <w:jc w:val="both"/>
        <w:rPr>
          <w:color w:val="000000"/>
          <w:szCs w:val="24"/>
          <w:lang w:eastAsia="lt-LT"/>
        </w:rPr>
      </w:pPr>
    </w:p>
    <w:p w14:paraId="6A5D2848" w14:textId="77777777" w:rsidR="00D81F3E" w:rsidRDefault="0042394B">
      <w:pPr>
        <w:widowControl w:val="0"/>
        <w:ind w:firstLine="567"/>
        <w:jc w:val="both"/>
        <w:rPr>
          <w:color w:val="000000"/>
          <w:szCs w:val="24"/>
          <w:lang w:eastAsia="lt-LT"/>
        </w:rPr>
      </w:pPr>
      <w:r>
        <w:rPr>
          <w:color w:val="000000"/>
          <w:szCs w:val="24"/>
          <w:lang w:eastAsia="lt-LT"/>
        </w:rPr>
        <w:t>7</w:t>
      </w:r>
      <w:r>
        <w:rPr>
          <w:color w:val="000000"/>
          <w:szCs w:val="24"/>
          <w:lang w:eastAsia="lt-LT"/>
        </w:rPr>
        <w:t>. Korupcijos rizikos analizės atlikimo būtinumo nustatymą taip pat atlieka korupcijos prevencijos pareigūnai, gavę STT direktoriaus, STT direktoriaus pirmojo pavaduotojo,</w:t>
      </w:r>
      <w:r>
        <w:rPr>
          <w:color w:val="000000"/>
          <w:szCs w:val="24"/>
          <w:lang w:eastAsia="lt-LT"/>
        </w:rPr>
        <w:t xml:space="preserve"> STT direktoriaus pavaduotojo ar STT Korupcijos prevencijos valdybos viršininko pavedimą.</w:t>
      </w:r>
    </w:p>
    <w:p w14:paraId="6A5D2849" w14:textId="77777777" w:rsidR="00D81F3E" w:rsidRDefault="0042394B">
      <w:pPr>
        <w:widowControl w:val="0"/>
        <w:ind w:firstLine="567"/>
        <w:jc w:val="both"/>
        <w:rPr>
          <w:color w:val="000000"/>
          <w:szCs w:val="24"/>
          <w:lang w:eastAsia="lt-LT"/>
        </w:rPr>
      </w:pPr>
      <w:r>
        <w:rPr>
          <w:color w:val="000000"/>
          <w:szCs w:val="24"/>
          <w:lang w:eastAsia="lt-LT"/>
        </w:rPr>
        <w:t>8</w:t>
      </w:r>
      <w:r>
        <w:rPr>
          <w:color w:val="000000"/>
          <w:szCs w:val="24"/>
          <w:lang w:eastAsia="lt-LT"/>
        </w:rPr>
        <w:t>. STT pareigūnai, atlikdami Aprašo 7 punkte nurodytą korupcijos rizikos analizės atlikimo būtinumo nustatymą, per 10 darbo dienų nuo Aprašo 7 punkte nurodyto pav</w:t>
      </w:r>
      <w:r>
        <w:rPr>
          <w:color w:val="000000"/>
          <w:szCs w:val="24"/>
          <w:lang w:eastAsia="lt-LT"/>
        </w:rPr>
        <w:t>edimo davimo dienos surašo korupcijos rizikos analizės atlikimo būtinumo nustatymo išvadą ir joje nurodo:</w:t>
      </w:r>
    </w:p>
    <w:p w14:paraId="6A5D284A" w14:textId="77777777" w:rsidR="00D81F3E" w:rsidRDefault="0042394B">
      <w:pPr>
        <w:widowControl w:val="0"/>
        <w:ind w:firstLine="567"/>
        <w:jc w:val="both"/>
        <w:rPr>
          <w:color w:val="000000"/>
          <w:szCs w:val="24"/>
          <w:lang w:eastAsia="lt-LT"/>
        </w:rPr>
      </w:pPr>
      <w:r>
        <w:rPr>
          <w:color w:val="000000"/>
          <w:szCs w:val="24"/>
          <w:lang w:eastAsia="lt-LT"/>
        </w:rPr>
        <w:t>8.1</w:t>
      </w:r>
      <w:r>
        <w:rPr>
          <w:color w:val="000000"/>
          <w:szCs w:val="24"/>
          <w:lang w:eastAsia="lt-LT"/>
        </w:rPr>
        <w:t xml:space="preserve">. ar valstybės ar savivaldybės įstaigos veiklos srityje yra didelė korupcijos pasireiškimo tikimybė, t. y. ar valstybės ar savivaldybės įstaigos </w:t>
      </w:r>
      <w:r>
        <w:rPr>
          <w:color w:val="000000"/>
          <w:szCs w:val="24"/>
          <w:lang w:eastAsia="lt-LT"/>
        </w:rPr>
        <w:t>veiklos sritis atitinka bent vieną iš Lietuvos Respublikos korupcijos prevencijos įstatymo 6 straipsnio 3 dalyje nustatytų kriterijų;</w:t>
      </w:r>
    </w:p>
    <w:p w14:paraId="6A5D284B" w14:textId="77777777" w:rsidR="00D81F3E" w:rsidRDefault="0042394B">
      <w:pPr>
        <w:widowControl w:val="0"/>
        <w:ind w:firstLine="567"/>
        <w:jc w:val="both"/>
        <w:rPr>
          <w:color w:val="000000"/>
          <w:szCs w:val="24"/>
          <w:lang w:eastAsia="lt-LT"/>
        </w:rPr>
      </w:pPr>
      <w:r>
        <w:rPr>
          <w:color w:val="000000"/>
          <w:szCs w:val="24"/>
          <w:lang w:eastAsia="lt-LT"/>
        </w:rPr>
        <w:t>8.2</w:t>
      </w:r>
      <w:r>
        <w:rPr>
          <w:color w:val="000000"/>
          <w:szCs w:val="24"/>
          <w:lang w:eastAsia="lt-LT"/>
        </w:rPr>
        <w:t>. ar valstybės ar savivaldybės įstaigos veiklos sritis atitinka bent vieną iš Lietuvos Respublikos korupcijos preve</w:t>
      </w:r>
      <w:r>
        <w:rPr>
          <w:color w:val="000000"/>
          <w:szCs w:val="24"/>
          <w:lang w:eastAsia="lt-LT"/>
        </w:rPr>
        <w:t>ncijos įstatymo 6 straipsnio 5 dalyje nustatytų kriterijų;</w:t>
      </w:r>
    </w:p>
    <w:p w14:paraId="6A5D284C" w14:textId="77777777" w:rsidR="00D81F3E" w:rsidRDefault="0042394B">
      <w:pPr>
        <w:widowControl w:val="0"/>
        <w:ind w:firstLine="567"/>
        <w:jc w:val="both"/>
        <w:rPr>
          <w:color w:val="000000"/>
          <w:szCs w:val="24"/>
          <w:lang w:eastAsia="lt-LT"/>
        </w:rPr>
      </w:pPr>
      <w:r>
        <w:rPr>
          <w:color w:val="000000"/>
          <w:szCs w:val="24"/>
          <w:lang w:eastAsia="lt-LT"/>
        </w:rPr>
        <w:t>8.3</w:t>
      </w:r>
      <w:r>
        <w:rPr>
          <w:color w:val="000000"/>
          <w:szCs w:val="24"/>
          <w:lang w:eastAsia="lt-LT"/>
        </w:rPr>
        <w:t>. ar valstybės ar savivaldybės įstaigos veiklos sritis atitinka STT korupcijos prevencijos prioritetus, jei valstybės ar savivaldybės įstaigos veiklos srityje yra didelė korupcijos pasireišk</w:t>
      </w:r>
      <w:r>
        <w:rPr>
          <w:color w:val="000000"/>
          <w:szCs w:val="24"/>
          <w:lang w:eastAsia="lt-LT"/>
        </w:rPr>
        <w:t xml:space="preserve">imo tikimybė ir ši veiklos sritis atitinka bent vieną iš Lietuvos Respublikos korupcijos prevencijos įstatymo 6 straipsnio 5 dalyje nustatytų kriterijų; </w:t>
      </w:r>
    </w:p>
    <w:p w14:paraId="6A5D284D" w14:textId="77777777" w:rsidR="00D81F3E" w:rsidRDefault="0042394B">
      <w:pPr>
        <w:widowControl w:val="0"/>
        <w:ind w:firstLine="567"/>
        <w:jc w:val="both"/>
        <w:rPr>
          <w:color w:val="000000"/>
          <w:szCs w:val="24"/>
          <w:lang w:eastAsia="lt-LT"/>
        </w:rPr>
      </w:pPr>
      <w:r>
        <w:rPr>
          <w:color w:val="000000"/>
          <w:szCs w:val="24"/>
          <w:lang w:eastAsia="lt-LT"/>
        </w:rPr>
        <w:t>8.4</w:t>
      </w:r>
      <w:r>
        <w:rPr>
          <w:color w:val="000000"/>
          <w:szCs w:val="24"/>
          <w:lang w:eastAsia="lt-LT"/>
        </w:rPr>
        <w:t>. Korupcijos rizikos analizės atlikimo tvarkos, patvirtintos Lietuvos Respublikos Vyriausybės 2</w:t>
      </w:r>
      <w:r>
        <w:rPr>
          <w:color w:val="000000"/>
          <w:szCs w:val="24"/>
          <w:lang w:eastAsia="lt-LT"/>
        </w:rPr>
        <w:t xml:space="preserve">002 m. spalio 8 d. nutarimu Nr. 1601 (Žin., 2002, Nr. </w:t>
      </w:r>
      <w:hyperlink r:id="rId13" w:tgtFrame="_blank" w:history="1">
        <w:r>
          <w:rPr>
            <w:color w:val="0000FF" w:themeColor="hyperlink"/>
            <w:szCs w:val="24"/>
            <w:u w:val="single"/>
            <w:lang w:eastAsia="lt-LT"/>
          </w:rPr>
          <w:t>98-4339</w:t>
        </w:r>
      </w:hyperlink>
      <w:r>
        <w:rPr>
          <w:color w:val="000000"/>
          <w:szCs w:val="24"/>
          <w:lang w:eastAsia="lt-LT"/>
        </w:rPr>
        <w:t>), 8–10 punktuose nustatytos informacijos (jei ji yra gauta) vertinimą;</w:t>
      </w:r>
    </w:p>
    <w:p w14:paraId="6A5D284E" w14:textId="77777777" w:rsidR="00D81F3E" w:rsidRDefault="0042394B">
      <w:pPr>
        <w:widowControl w:val="0"/>
        <w:ind w:firstLine="567"/>
        <w:jc w:val="both"/>
        <w:rPr>
          <w:color w:val="000000"/>
          <w:szCs w:val="24"/>
          <w:lang w:eastAsia="lt-LT"/>
        </w:rPr>
      </w:pPr>
      <w:r>
        <w:rPr>
          <w:color w:val="000000"/>
          <w:szCs w:val="24"/>
          <w:lang w:eastAsia="lt-LT"/>
        </w:rPr>
        <w:t>8.5</w:t>
      </w:r>
      <w:r>
        <w:rPr>
          <w:color w:val="000000"/>
          <w:szCs w:val="24"/>
          <w:lang w:eastAsia="lt-LT"/>
        </w:rPr>
        <w:t xml:space="preserve">. atlikti korupcijos rizikos analizę </w:t>
      </w:r>
      <w:r>
        <w:rPr>
          <w:color w:val="000000"/>
          <w:szCs w:val="24"/>
          <w:lang w:eastAsia="lt-LT"/>
        </w:rPr>
        <w:t>ar neatlikti korupcijos rizikos analizės.</w:t>
      </w:r>
    </w:p>
    <w:p w14:paraId="6A5D284F" w14:textId="77777777" w:rsidR="00D81F3E" w:rsidRDefault="0042394B">
      <w:pPr>
        <w:widowControl w:val="0"/>
        <w:ind w:firstLine="567"/>
        <w:jc w:val="both"/>
        <w:rPr>
          <w:color w:val="000000"/>
          <w:szCs w:val="24"/>
          <w:lang w:eastAsia="lt-LT"/>
        </w:rPr>
      </w:pPr>
      <w:r>
        <w:rPr>
          <w:color w:val="000000"/>
          <w:szCs w:val="24"/>
          <w:lang w:eastAsia="lt-LT"/>
        </w:rPr>
        <w:t>9</w:t>
      </w:r>
      <w:r>
        <w:rPr>
          <w:color w:val="000000"/>
          <w:szCs w:val="24"/>
          <w:lang w:eastAsia="lt-LT"/>
        </w:rPr>
        <w:t>. Aprašo 8 punkte nurodyta korupcijos rizikos analizės atlikimo būtinumo nustatymo išvada surašoma per 10 darbo dienų nuo Aprašo 7 punkte nurodyto pavedimo davimo dienos ir suderinus su tiesioginiu vadovu, K</w:t>
      </w:r>
      <w:r>
        <w:rPr>
          <w:color w:val="000000"/>
          <w:szCs w:val="24"/>
          <w:lang w:eastAsia="lt-LT"/>
        </w:rPr>
        <w:t xml:space="preserve">orupcijos prevencijos valdybos viršininku (jei išvadą surašo STT teritorinės valdybos pareigūnas, tai ji suderinama ir su STT teritorinės valdybos viršininku) pateikiama direktoriaus pavaduotojui, jo nesant, STT direktoriui. </w:t>
      </w:r>
    </w:p>
    <w:p w14:paraId="6A5D2850" w14:textId="77777777" w:rsidR="00D81F3E" w:rsidRDefault="0042394B">
      <w:pPr>
        <w:widowControl w:val="0"/>
        <w:ind w:firstLine="567"/>
        <w:jc w:val="both"/>
        <w:rPr>
          <w:color w:val="000000"/>
          <w:szCs w:val="24"/>
          <w:lang w:eastAsia="lt-LT"/>
        </w:rPr>
      </w:pPr>
      <w:r>
        <w:rPr>
          <w:color w:val="000000"/>
          <w:szCs w:val="24"/>
          <w:lang w:eastAsia="lt-LT"/>
        </w:rPr>
        <w:t>10</w:t>
      </w:r>
      <w:r>
        <w:rPr>
          <w:color w:val="000000"/>
          <w:szCs w:val="24"/>
          <w:lang w:eastAsia="lt-LT"/>
        </w:rPr>
        <w:t>. Jei korupcijos prevenc</w:t>
      </w:r>
      <w:r>
        <w:rPr>
          <w:color w:val="000000"/>
          <w:szCs w:val="24"/>
          <w:lang w:eastAsia="lt-LT"/>
        </w:rPr>
        <w:t>ijos pareigūnui trūksta informacijos, reikalingos surašyti Aprašo 8 punkte nurodytą korupcijos rizikos analizės atlikimo būtinumo nustatymo išvadą, tai ne vėliau kaip per 5 darbo dienas nuo Aprašo 7 punkte nurodyto pavedimo davimo dienos jis turi siūlyti k</w:t>
      </w:r>
      <w:r>
        <w:rPr>
          <w:color w:val="000000"/>
          <w:szCs w:val="24"/>
          <w:lang w:eastAsia="lt-LT"/>
        </w:rPr>
        <w:t>reiptis į reikiamą valstybės ar savivaldybės įstaigą dėl papildomos informacijos gavimo. Tokiu atveju Aprašo 8 punkte nurodyta korupcijos rizikos analizės atlikimo būtinumo nustatymo išvada surašoma per 10 darbo dienų nuo papildomos informacijos gavimo STT</w:t>
      </w:r>
      <w:r>
        <w:rPr>
          <w:color w:val="000000"/>
          <w:szCs w:val="24"/>
          <w:lang w:eastAsia="lt-LT"/>
        </w:rPr>
        <w:t xml:space="preserve"> dienos.</w:t>
      </w:r>
    </w:p>
    <w:p w14:paraId="6A5D2851" w14:textId="77777777" w:rsidR="00D81F3E" w:rsidRDefault="0042394B">
      <w:pPr>
        <w:widowControl w:val="0"/>
        <w:ind w:firstLine="567"/>
        <w:jc w:val="both"/>
        <w:rPr>
          <w:color w:val="000000"/>
          <w:spacing w:val="2"/>
          <w:szCs w:val="24"/>
          <w:lang w:eastAsia="lt-LT"/>
        </w:rPr>
      </w:pPr>
      <w:r>
        <w:rPr>
          <w:color w:val="000000"/>
          <w:szCs w:val="24"/>
          <w:lang w:eastAsia="lt-LT"/>
        </w:rPr>
        <w:t>11</w:t>
      </w:r>
      <w:r>
        <w:rPr>
          <w:color w:val="000000"/>
          <w:spacing w:val="2"/>
          <w:szCs w:val="24"/>
          <w:lang w:eastAsia="lt-LT"/>
        </w:rPr>
        <w:t>. STT direktoriaus pavaduotojas,</w:t>
      </w:r>
      <w:r>
        <w:rPr>
          <w:color w:val="000000"/>
          <w:szCs w:val="24"/>
          <w:lang w:eastAsia="lt-LT"/>
        </w:rPr>
        <w:t xml:space="preserve"> jo nesant, STT direktorius</w:t>
      </w:r>
      <w:r>
        <w:rPr>
          <w:color w:val="000000"/>
          <w:spacing w:val="2"/>
          <w:szCs w:val="24"/>
          <w:lang w:eastAsia="lt-LT"/>
        </w:rPr>
        <w:t xml:space="preserve"> sprendimą (rezoliucija ant korupcijos rizikos analizės atlikimo būtinumo nustatymo išvados) dėl korupcijos rizikos </w:t>
      </w:r>
      <w:r>
        <w:rPr>
          <w:color w:val="000000"/>
          <w:spacing w:val="2"/>
          <w:szCs w:val="24"/>
          <w:lang w:eastAsia="lt-LT"/>
        </w:rPr>
        <w:lastRenderedPageBreak/>
        <w:t xml:space="preserve">analizės atlikimo ar neatlikimo valstybės ar savivaldybės įstaigos veiklos srityje priima per 5 darbo dienas nuo </w:t>
      </w:r>
      <w:r>
        <w:rPr>
          <w:color w:val="000000"/>
          <w:szCs w:val="24"/>
          <w:lang w:eastAsia="lt-LT"/>
        </w:rPr>
        <w:t>Aprašo 8 punkte nurodytos k</w:t>
      </w:r>
      <w:r>
        <w:rPr>
          <w:color w:val="000000"/>
          <w:szCs w:val="24"/>
          <w:lang w:eastAsia="lt-LT"/>
        </w:rPr>
        <w:t>orupcijos rizikos analizės atlikimo būtinumo nustatymo išvados</w:t>
      </w:r>
      <w:r>
        <w:rPr>
          <w:color w:val="000000"/>
          <w:spacing w:val="2"/>
          <w:szCs w:val="24"/>
          <w:lang w:eastAsia="lt-LT"/>
        </w:rPr>
        <w:t xml:space="preserve"> gavimo dienos.</w:t>
      </w:r>
    </w:p>
    <w:p w14:paraId="6A5D2852" w14:textId="77777777" w:rsidR="00D81F3E" w:rsidRDefault="0042394B">
      <w:pPr>
        <w:widowControl w:val="0"/>
        <w:ind w:firstLine="567"/>
        <w:jc w:val="both"/>
        <w:rPr>
          <w:color w:val="000000"/>
          <w:szCs w:val="24"/>
          <w:lang w:eastAsia="lt-LT"/>
        </w:rPr>
      </w:pPr>
    </w:p>
    <w:p w14:paraId="6A5D2853" w14:textId="77777777" w:rsidR="00D81F3E" w:rsidRDefault="0042394B">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KORUPCIJOS RIZIKOS ANALIZĖS ATLIKIMO TVARKA</w:t>
      </w:r>
    </w:p>
    <w:p w14:paraId="6A5D2854" w14:textId="77777777" w:rsidR="00D81F3E" w:rsidRDefault="00D81F3E">
      <w:pPr>
        <w:widowControl w:val="0"/>
        <w:ind w:firstLine="567"/>
        <w:jc w:val="both"/>
        <w:rPr>
          <w:color w:val="000000"/>
          <w:szCs w:val="24"/>
          <w:lang w:eastAsia="lt-LT"/>
        </w:rPr>
      </w:pPr>
    </w:p>
    <w:p w14:paraId="6A5D2855" w14:textId="77777777" w:rsidR="00D81F3E" w:rsidRDefault="0042394B">
      <w:pPr>
        <w:widowControl w:val="0"/>
        <w:ind w:firstLine="567"/>
        <w:jc w:val="both"/>
        <w:rPr>
          <w:color w:val="000000"/>
          <w:spacing w:val="-2"/>
          <w:szCs w:val="24"/>
          <w:lang w:eastAsia="lt-LT"/>
        </w:rPr>
      </w:pPr>
      <w:r>
        <w:rPr>
          <w:color w:val="000000"/>
          <w:spacing w:val="-2"/>
          <w:szCs w:val="24"/>
          <w:lang w:eastAsia="lt-LT"/>
        </w:rPr>
        <w:t>12</w:t>
      </w:r>
      <w:r>
        <w:rPr>
          <w:color w:val="000000"/>
          <w:spacing w:val="-2"/>
          <w:szCs w:val="24"/>
          <w:lang w:eastAsia="lt-LT"/>
        </w:rPr>
        <w:t>. Apie priimtą sprendimą atlikti korupcijos rizikos analizę ar neatlikti korupcijos rizikos analizės valstybės ar sa</w:t>
      </w:r>
      <w:r>
        <w:rPr>
          <w:color w:val="000000"/>
          <w:spacing w:val="-2"/>
          <w:szCs w:val="24"/>
          <w:lang w:eastAsia="lt-LT"/>
        </w:rPr>
        <w:t xml:space="preserve">vivaldybės įstaigos veiklos srityje reikiama įstaiga STT darbo reglamento nustatyta tvarka yra informuojama per 5 darbo dienas nuo sprendimo dėl korupcijos rizikos analizės atlikimo ar neatlikimo valstybės ar savivaldybės įstaigos veiklos srityje dienos. </w:t>
      </w:r>
    </w:p>
    <w:p w14:paraId="6A5D2856" w14:textId="77777777" w:rsidR="00D81F3E" w:rsidRDefault="0042394B">
      <w:pPr>
        <w:widowControl w:val="0"/>
        <w:ind w:firstLine="567"/>
        <w:jc w:val="both"/>
        <w:rPr>
          <w:color w:val="000000"/>
          <w:spacing w:val="-2"/>
          <w:szCs w:val="24"/>
          <w:lang w:eastAsia="lt-LT"/>
        </w:rPr>
      </w:pPr>
      <w:r>
        <w:rPr>
          <w:color w:val="000000"/>
          <w:spacing w:val="-2"/>
          <w:szCs w:val="24"/>
          <w:lang w:eastAsia="lt-LT"/>
        </w:rPr>
        <w:t>13</w:t>
      </w:r>
      <w:r>
        <w:rPr>
          <w:color w:val="000000"/>
          <w:spacing w:val="-2"/>
          <w:szCs w:val="24"/>
          <w:lang w:eastAsia="lt-LT"/>
        </w:rPr>
        <w:t>. Korupcijos prevencijos pareigūnai, kuriems yra pavesta atlikti korupcijos rizikos analizę valstybės ar savivaldybės įstaigos veiklos srityje, per 5 darbo dienas nuo korupcijos rizikos analizės atlikimo pradžios privalo parengti korupcijos rizikos a</w:t>
      </w:r>
      <w:r>
        <w:rPr>
          <w:color w:val="000000"/>
          <w:spacing w:val="-2"/>
          <w:szCs w:val="24"/>
          <w:lang w:eastAsia="lt-LT"/>
        </w:rPr>
        <w:t>nalizės atlikimo planą ir suderinti jį su STT Korupcijos prevencijos valdybos Korupcijos rizikos skyriaus viršininku.</w:t>
      </w:r>
    </w:p>
    <w:p w14:paraId="6A5D2857" w14:textId="77777777" w:rsidR="00D81F3E" w:rsidRDefault="0042394B">
      <w:pPr>
        <w:widowControl w:val="0"/>
        <w:ind w:firstLine="567"/>
        <w:jc w:val="both"/>
        <w:rPr>
          <w:color w:val="000000"/>
          <w:szCs w:val="24"/>
          <w:lang w:eastAsia="lt-LT"/>
        </w:rPr>
      </w:pPr>
      <w:r>
        <w:rPr>
          <w:color w:val="000000"/>
          <w:szCs w:val="24"/>
          <w:lang w:eastAsia="lt-LT"/>
        </w:rPr>
        <w:t>14</w:t>
      </w:r>
      <w:r>
        <w:rPr>
          <w:color w:val="000000"/>
          <w:szCs w:val="24"/>
          <w:lang w:eastAsia="lt-LT"/>
        </w:rPr>
        <w:t>. Atliekant korupcijos rizikos analizę valstybės ar savivaldybės įstaigos veiklos srityje surenkama ir įvertinama:</w:t>
      </w:r>
    </w:p>
    <w:p w14:paraId="6A5D2858" w14:textId="77777777" w:rsidR="00D81F3E" w:rsidRDefault="0042394B">
      <w:pPr>
        <w:widowControl w:val="0"/>
        <w:ind w:firstLine="567"/>
        <w:jc w:val="both"/>
        <w:rPr>
          <w:color w:val="000000"/>
          <w:szCs w:val="24"/>
          <w:lang w:eastAsia="lt-LT"/>
        </w:rPr>
      </w:pPr>
      <w:r>
        <w:rPr>
          <w:color w:val="000000"/>
          <w:szCs w:val="24"/>
          <w:lang w:eastAsia="lt-LT"/>
        </w:rPr>
        <w:t>14.1</w:t>
      </w:r>
      <w:r>
        <w:rPr>
          <w:color w:val="000000"/>
          <w:szCs w:val="24"/>
          <w:lang w:eastAsia="lt-LT"/>
        </w:rPr>
        <w:t>. Korupcijo</w:t>
      </w:r>
      <w:r>
        <w:rPr>
          <w:color w:val="000000"/>
          <w:szCs w:val="24"/>
          <w:lang w:eastAsia="lt-LT"/>
        </w:rPr>
        <w:t>s rizikos analizės atlikimo tvarkos 15 punkte nurodyti duomenys;</w:t>
      </w:r>
    </w:p>
    <w:p w14:paraId="6A5D2859" w14:textId="77777777" w:rsidR="00D81F3E" w:rsidRDefault="0042394B">
      <w:pPr>
        <w:widowControl w:val="0"/>
        <w:ind w:firstLine="567"/>
        <w:jc w:val="both"/>
        <w:rPr>
          <w:color w:val="000000"/>
          <w:szCs w:val="24"/>
          <w:lang w:eastAsia="lt-LT"/>
        </w:rPr>
      </w:pPr>
      <w:r>
        <w:rPr>
          <w:color w:val="000000"/>
          <w:szCs w:val="24"/>
          <w:lang w:eastAsia="lt-LT"/>
        </w:rPr>
        <w:t>14.2</w:t>
      </w:r>
      <w:r>
        <w:rPr>
          <w:color w:val="000000"/>
          <w:szCs w:val="24"/>
          <w:lang w:eastAsia="lt-LT"/>
        </w:rPr>
        <w:t>. teisės aktų nuostatos, reglamentuojančios valstybės ar savivaldybės įstaigos veiklos sritį, kurioje atliekama korupcijos rizikos analizė;</w:t>
      </w:r>
    </w:p>
    <w:p w14:paraId="6A5D285A" w14:textId="77777777" w:rsidR="00D81F3E" w:rsidRDefault="0042394B">
      <w:pPr>
        <w:widowControl w:val="0"/>
        <w:ind w:firstLine="567"/>
        <w:jc w:val="both"/>
        <w:rPr>
          <w:color w:val="000000"/>
          <w:szCs w:val="24"/>
          <w:lang w:eastAsia="lt-LT"/>
        </w:rPr>
      </w:pPr>
      <w:r>
        <w:rPr>
          <w:color w:val="000000"/>
          <w:szCs w:val="24"/>
          <w:lang w:eastAsia="lt-LT"/>
        </w:rPr>
        <w:t>14.3</w:t>
      </w:r>
      <w:r>
        <w:rPr>
          <w:color w:val="000000"/>
          <w:szCs w:val="24"/>
          <w:lang w:eastAsia="lt-LT"/>
        </w:rPr>
        <w:t xml:space="preserve">. STT turima, prieinama informacija, susijusi su valstybės ar savivaldybės įstaigos veiklos sritimi, kurioje atliekama korupcijos rizikos analizė; </w:t>
      </w:r>
    </w:p>
    <w:p w14:paraId="6A5D285B" w14:textId="77777777" w:rsidR="00D81F3E" w:rsidRDefault="0042394B">
      <w:pPr>
        <w:widowControl w:val="0"/>
        <w:ind w:firstLine="567"/>
        <w:jc w:val="both"/>
        <w:rPr>
          <w:color w:val="000000"/>
          <w:szCs w:val="24"/>
          <w:lang w:eastAsia="lt-LT"/>
        </w:rPr>
      </w:pPr>
      <w:r>
        <w:rPr>
          <w:color w:val="000000"/>
          <w:szCs w:val="24"/>
          <w:lang w:eastAsia="lt-LT"/>
        </w:rPr>
        <w:t>14.4</w:t>
      </w:r>
      <w:r>
        <w:rPr>
          <w:color w:val="000000"/>
          <w:szCs w:val="24"/>
          <w:lang w:eastAsia="lt-LT"/>
        </w:rPr>
        <w:t>. kita informacija, reikalinga korupcijos rizikos analizei atlikti.</w:t>
      </w:r>
    </w:p>
    <w:p w14:paraId="6A5D285C" w14:textId="77777777" w:rsidR="00D81F3E" w:rsidRDefault="0042394B">
      <w:pPr>
        <w:widowControl w:val="0"/>
        <w:ind w:firstLine="567"/>
        <w:jc w:val="both"/>
        <w:rPr>
          <w:color w:val="000000"/>
          <w:szCs w:val="24"/>
          <w:lang w:eastAsia="lt-LT"/>
        </w:rPr>
      </w:pPr>
      <w:r>
        <w:rPr>
          <w:color w:val="000000"/>
          <w:szCs w:val="24"/>
          <w:lang w:eastAsia="lt-LT"/>
        </w:rPr>
        <w:t>15</w:t>
      </w:r>
      <w:r>
        <w:rPr>
          <w:color w:val="000000"/>
          <w:szCs w:val="24"/>
          <w:lang w:eastAsia="lt-LT"/>
        </w:rPr>
        <w:t xml:space="preserve">. Surinkus ir įvertinus </w:t>
      </w:r>
      <w:r>
        <w:rPr>
          <w:color w:val="000000"/>
          <w:szCs w:val="24"/>
          <w:lang w:eastAsia="lt-LT"/>
        </w:rPr>
        <w:t>šio Aprašo 14 punkte nurodytą informaciją per Korupcijos rizikos analizės atlikimo tvarkos 17 punkte nurodytą terminą (ne vėliau kaip per keturis mėnesius nuo korupcijos rizikos analizės pradėjimo) yra surašoma motyvuota išvada dėl korupcijos rizikos anali</w:t>
      </w:r>
      <w:r>
        <w:rPr>
          <w:color w:val="000000"/>
          <w:szCs w:val="24"/>
          <w:lang w:eastAsia="lt-LT"/>
        </w:rPr>
        <w:t>zės (priedas).</w:t>
      </w:r>
    </w:p>
    <w:p w14:paraId="6A5D285D" w14:textId="77777777" w:rsidR="00D81F3E" w:rsidRDefault="0042394B">
      <w:pPr>
        <w:widowControl w:val="0"/>
        <w:ind w:firstLine="567"/>
        <w:jc w:val="both"/>
        <w:rPr>
          <w:color w:val="000000"/>
          <w:szCs w:val="24"/>
          <w:lang w:eastAsia="lt-LT"/>
        </w:rPr>
      </w:pPr>
      <w:r>
        <w:rPr>
          <w:color w:val="000000"/>
          <w:szCs w:val="24"/>
          <w:lang w:eastAsia="lt-LT"/>
        </w:rPr>
        <w:t>16</w:t>
      </w:r>
      <w:r>
        <w:rPr>
          <w:color w:val="000000"/>
          <w:szCs w:val="24"/>
          <w:lang w:eastAsia="lt-LT"/>
        </w:rPr>
        <w:t>. STT pareigūnai, surašę ir pavizavę motyvuotą išvadą dėl korupcijos rizikos analizės, suderina ją su tiesioginiu vadovu, STT Korupcijos prevencijos valdybos viršininku (jei išvadą surašo STT teritorinės valdybos pareigūnas, tai ji sud</w:t>
      </w:r>
      <w:r>
        <w:rPr>
          <w:color w:val="000000"/>
          <w:szCs w:val="24"/>
          <w:lang w:eastAsia="lt-LT"/>
        </w:rPr>
        <w:t>erinama ir su STT teritorinės valdybos viršininku) ir pateikia ją pagal kompetenciją pasirašyti STT direktoriaus pavaduotojui, jo nesant, STT direktoriui.</w:t>
      </w:r>
    </w:p>
    <w:p w14:paraId="6A5D285E" w14:textId="77777777" w:rsidR="00D81F3E" w:rsidRDefault="0042394B">
      <w:pPr>
        <w:widowControl w:val="0"/>
        <w:ind w:firstLine="567"/>
        <w:jc w:val="both"/>
        <w:rPr>
          <w:color w:val="000000"/>
          <w:szCs w:val="24"/>
          <w:lang w:eastAsia="lt-LT"/>
        </w:rPr>
      </w:pPr>
      <w:r>
        <w:rPr>
          <w:color w:val="000000"/>
          <w:szCs w:val="24"/>
          <w:lang w:eastAsia="lt-LT"/>
        </w:rPr>
        <w:t>17</w:t>
      </w:r>
      <w:r>
        <w:rPr>
          <w:color w:val="000000"/>
          <w:szCs w:val="24"/>
          <w:lang w:eastAsia="lt-LT"/>
        </w:rPr>
        <w:t>. STT direktoriaus pavaduotojo, jo nesant, STT direktoriaus pasirašyta motyvuota išvada dėl kor</w:t>
      </w:r>
      <w:r>
        <w:rPr>
          <w:color w:val="000000"/>
          <w:szCs w:val="24"/>
          <w:lang w:eastAsia="lt-LT"/>
        </w:rPr>
        <w:t>upcijos rizikos analizės pateikiama reikiamai valstybės ar savivaldybės įstaigai.</w:t>
      </w:r>
    </w:p>
    <w:p w14:paraId="6A5D285F" w14:textId="77777777" w:rsidR="00D81F3E" w:rsidRDefault="0042394B">
      <w:pPr>
        <w:widowControl w:val="0"/>
        <w:ind w:firstLine="567"/>
        <w:jc w:val="both"/>
        <w:rPr>
          <w:color w:val="000000"/>
          <w:szCs w:val="24"/>
          <w:lang w:eastAsia="lt-LT"/>
        </w:rPr>
      </w:pPr>
    </w:p>
    <w:p w14:paraId="6A5D2860" w14:textId="77777777" w:rsidR="00D81F3E" w:rsidRDefault="0042394B">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BAIGIAMOSIOS NUOSTATOS</w:t>
      </w:r>
    </w:p>
    <w:p w14:paraId="6A5D2861" w14:textId="77777777" w:rsidR="00D81F3E" w:rsidRDefault="00D81F3E">
      <w:pPr>
        <w:widowControl w:val="0"/>
        <w:ind w:firstLine="567"/>
        <w:jc w:val="both"/>
        <w:rPr>
          <w:color w:val="000000"/>
          <w:szCs w:val="24"/>
          <w:lang w:eastAsia="lt-LT"/>
        </w:rPr>
      </w:pPr>
    </w:p>
    <w:p w14:paraId="6A5D2862" w14:textId="77777777" w:rsidR="00D81F3E" w:rsidRDefault="0042394B">
      <w:pPr>
        <w:widowControl w:val="0"/>
        <w:ind w:firstLine="567"/>
        <w:jc w:val="both"/>
        <w:rPr>
          <w:color w:val="000000"/>
          <w:szCs w:val="24"/>
          <w:lang w:eastAsia="lt-LT"/>
        </w:rPr>
      </w:pPr>
      <w:r>
        <w:rPr>
          <w:color w:val="000000"/>
          <w:szCs w:val="24"/>
          <w:lang w:eastAsia="lt-LT"/>
        </w:rPr>
        <w:t>18</w:t>
      </w:r>
      <w:r>
        <w:rPr>
          <w:color w:val="000000"/>
          <w:szCs w:val="24"/>
          <w:lang w:eastAsia="lt-LT"/>
        </w:rPr>
        <w:t>. Patvirtinta motyvuota išvada dėl korupcijos rizikos analizės skelbiama STT interneto svetainėje.</w:t>
      </w:r>
    </w:p>
    <w:p w14:paraId="6A5D2863" w14:textId="77777777" w:rsidR="00D81F3E" w:rsidRDefault="0042394B">
      <w:pPr>
        <w:widowControl w:val="0"/>
        <w:jc w:val="center"/>
        <w:rPr>
          <w:color w:val="000000"/>
          <w:szCs w:val="24"/>
          <w:lang w:eastAsia="lt-LT"/>
        </w:rPr>
      </w:pPr>
      <w:r>
        <w:rPr>
          <w:color w:val="000000"/>
          <w:szCs w:val="24"/>
          <w:lang w:eastAsia="lt-LT"/>
        </w:rPr>
        <w:t>_______________</w:t>
      </w:r>
    </w:p>
    <w:p w14:paraId="6A5D2864" w14:textId="77777777" w:rsidR="00D81F3E" w:rsidRDefault="0042394B">
      <w:pPr>
        <w:widowControl w:val="0"/>
        <w:ind w:firstLine="567"/>
        <w:jc w:val="both"/>
        <w:rPr>
          <w:b/>
          <w:bCs/>
          <w:color w:val="000000"/>
          <w:spacing w:val="15"/>
          <w:szCs w:val="24"/>
          <w:lang w:eastAsia="lt-LT"/>
        </w:rPr>
      </w:pPr>
    </w:p>
    <w:p w14:paraId="74CC9264" w14:textId="77777777" w:rsidR="0042394B" w:rsidRDefault="0042394B">
      <w:pPr>
        <w:shd w:val="clear" w:color="auto" w:fill="FFFFFF"/>
        <w:ind w:left="4535"/>
      </w:pPr>
    </w:p>
    <w:p w14:paraId="451F6C89" w14:textId="77777777" w:rsidR="0042394B" w:rsidRDefault="0042394B">
      <w:r>
        <w:br w:type="page"/>
      </w:r>
    </w:p>
    <w:p w14:paraId="6A5D2865" w14:textId="6718FFEF" w:rsidR="00D81F3E" w:rsidRDefault="0042394B">
      <w:pPr>
        <w:shd w:val="clear" w:color="auto" w:fill="FFFFFF"/>
        <w:ind w:left="4535"/>
        <w:rPr>
          <w:szCs w:val="24"/>
          <w:lang w:eastAsia="lt-LT"/>
        </w:rPr>
      </w:pPr>
      <w:bookmarkStart w:id="0" w:name="_GoBack"/>
      <w:bookmarkEnd w:id="0"/>
      <w:r>
        <w:rPr>
          <w:szCs w:val="24"/>
          <w:lang w:eastAsia="lt-LT"/>
        </w:rPr>
        <w:lastRenderedPageBreak/>
        <w:t>Lietuvos R</w:t>
      </w:r>
      <w:r>
        <w:rPr>
          <w:szCs w:val="24"/>
          <w:lang w:eastAsia="lt-LT"/>
        </w:rPr>
        <w:t xml:space="preserve">espublikos specialiųjų tyrimų tarnybos pareigūnų atliekamo išvadų dėl korupcijos pasireiškimo tikimybių vertinimo ir </w:t>
      </w:r>
      <w:r>
        <w:rPr>
          <w:color w:val="000000"/>
          <w:szCs w:val="24"/>
          <w:lang w:eastAsia="lt-LT"/>
        </w:rPr>
        <w:t xml:space="preserve">korupcijos rizikos analizės atlikimo </w:t>
      </w:r>
      <w:r>
        <w:rPr>
          <w:szCs w:val="24"/>
          <w:lang w:eastAsia="lt-LT"/>
        </w:rPr>
        <w:t>tvarkos aprašo</w:t>
      </w:r>
    </w:p>
    <w:p w14:paraId="6A5D2866" w14:textId="77777777" w:rsidR="00D81F3E" w:rsidRDefault="0042394B">
      <w:pPr>
        <w:shd w:val="clear" w:color="auto" w:fill="FFFFFF"/>
        <w:ind w:left="4535"/>
        <w:rPr>
          <w:szCs w:val="24"/>
          <w:lang w:eastAsia="lt-LT"/>
        </w:rPr>
      </w:pPr>
      <w:r>
        <w:rPr>
          <w:szCs w:val="24"/>
          <w:lang w:eastAsia="lt-LT"/>
        </w:rPr>
        <w:t>1</w:t>
      </w:r>
      <w:r>
        <w:rPr>
          <w:szCs w:val="24"/>
          <w:lang w:eastAsia="lt-LT"/>
        </w:rPr>
        <w:t xml:space="preserve"> priedas</w:t>
      </w:r>
    </w:p>
    <w:p w14:paraId="6A5D2867" w14:textId="77777777" w:rsidR="00D81F3E" w:rsidRDefault="00D81F3E">
      <w:pPr>
        <w:shd w:val="clear" w:color="auto" w:fill="FFFFFF"/>
        <w:ind w:left="4820" w:firstLine="282"/>
        <w:rPr>
          <w:szCs w:val="24"/>
          <w:lang w:eastAsia="lt-LT"/>
        </w:rPr>
      </w:pPr>
    </w:p>
    <w:p w14:paraId="6A5D2868" w14:textId="77777777" w:rsidR="00D81F3E" w:rsidRDefault="0042394B">
      <w:pPr>
        <w:shd w:val="clear" w:color="auto" w:fill="FFFFFF"/>
        <w:jc w:val="center"/>
        <w:rPr>
          <w:b/>
          <w:szCs w:val="24"/>
          <w:lang w:eastAsia="lt-LT"/>
        </w:rPr>
      </w:pPr>
      <w:r>
        <w:rPr>
          <w:b/>
          <w:szCs w:val="24"/>
          <w:lang w:eastAsia="lt-LT"/>
        </w:rPr>
        <w:t>(Išvados dėl korupcijos rizikos analizės forma)</w:t>
      </w:r>
    </w:p>
    <w:p w14:paraId="6A5D2869" w14:textId="77777777" w:rsidR="00D81F3E" w:rsidRDefault="00D81F3E">
      <w:pPr>
        <w:shd w:val="clear" w:color="auto" w:fill="FFFFFF"/>
        <w:jc w:val="both"/>
        <w:rPr>
          <w:szCs w:val="24"/>
          <w:lang w:eastAsia="lt-LT"/>
        </w:rPr>
      </w:pPr>
    </w:p>
    <w:p w14:paraId="6A5D286A" w14:textId="77777777" w:rsidR="00D81F3E" w:rsidRDefault="0042394B">
      <w:pPr>
        <w:shd w:val="clear" w:color="auto" w:fill="FFFFFF"/>
        <w:jc w:val="center"/>
        <w:rPr>
          <w:szCs w:val="24"/>
          <w:lang w:eastAsia="lt-LT"/>
        </w:rPr>
      </w:pPr>
      <w:r>
        <w:rPr>
          <w:noProof/>
          <w:szCs w:val="24"/>
          <w:lang w:eastAsia="lt-LT"/>
        </w:rPr>
        <w:drawing>
          <wp:inline distT="0" distB="0" distL="0" distR="0" wp14:anchorId="6A5D28B3" wp14:editId="6A5D28B4">
            <wp:extent cx="5334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14:paraId="6A5D286B" w14:textId="77777777" w:rsidR="00D81F3E" w:rsidRDefault="0042394B">
      <w:pPr>
        <w:shd w:val="clear" w:color="auto" w:fill="FFFFFF"/>
        <w:jc w:val="center"/>
        <w:rPr>
          <w:vanish/>
          <w:szCs w:val="24"/>
          <w:lang w:eastAsia="lt-LT"/>
        </w:rPr>
      </w:pPr>
      <w:r>
        <w:rPr>
          <w:vanish/>
          <w:szCs w:val="24"/>
          <w:lang w:eastAsia="lt-LT"/>
        </w:rPr>
        <w:t>(Herbas)</w:t>
      </w:r>
    </w:p>
    <w:p w14:paraId="6A5D286C" w14:textId="77777777" w:rsidR="00D81F3E" w:rsidRDefault="00D81F3E">
      <w:pPr>
        <w:jc w:val="both"/>
        <w:rPr>
          <w:szCs w:val="24"/>
          <w:lang w:eastAsia="lt-LT"/>
        </w:rPr>
      </w:pPr>
    </w:p>
    <w:p w14:paraId="6A5D286D" w14:textId="4C3CB883" w:rsidR="00D81F3E" w:rsidRDefault="0042394B">
      <w:pPr>
        <w:jc w:val="center"/>
        <w:rPr>
          <w:b/>
          <w:szCs w:val="24"/>
          <w:lang w:eastAsia="lt-LT"/>
        </w:rPr>
      </w:pPr>
      <w:r>
        <w:rPr>
          <w:b/>
          <w:szCs w:val="24"/>
          <w:lang w:eastAsia="lt-LT"/>
        </w:rPr>
        <w:t xml:space="preserve">LIETUVOS </w:t>
      </w:r>
      <w:r>
        <w:rPr>
          <w:b/>
          <w:szCs w:val="24"/>
          <w:lang w:eastAsia="lt-LT"/>
        </w:rPr>
        <w:t>RESPUBLIKOS SPECIALIŲJŲ TYRIMŲ TARNYBA</w:t>
      </w:r>
    </w:p>
    <w:p w14:paraId="6A5D286E" w14:textId="77777777" w:rsidR="00D81F3E" w:rsidRDefault="00D81F3E">
      <w:pPr>
        <w:jc w:val="both"/>
        <w:rPr>
          <w:szCs w:val="24"/>
          <w:lang w:eastAsia="lt-LT"/>
        </w:rPr>
      </w:pPr>
    </w:p>
    <w:tbl>
      <w:tblPr>
        <w:tblW w:w="9070" w:type="dxa"/>
        <w:tblLayout w:type="fixed"/>
        <w:tblLook w:val="0000" w:firstRow="0" w:lastRow="0" w:firstColumn="0" w:lastColumn="0" w:noHBand="0" w:noVBand="0"/>
      </w:tblPr>
      <w:tblGrid>
        <w:gridCol w:w="3348"/>
        <w:gridCol w:w="1560"/>
        <w:gridCol w:w="4162"/>
      </w:tblGrid>
      <w:tr w:rsidR="00D81F3E" w14:paraId="6A5D2872" w14:textId="77777777">
        <w:tc>
          <w:tcPr>
            <w:tcW w:w="3348" w:type="dxa"/>
            <w:shd w:val="clear" w:color="auto" w:fill="auto"/>
          </w:tcPr>
          <w:p w14:paraId="6A5D286F" w14:textId="77777777" w:rsidR="00D81F3E" w:rsidRDefault="0042394B">
            <w:pPr>
              <w:rPr>
                <w:szCs w:val="24"/>
              </w:rPr>
            </w:pPr>
            <w:r>
              <w:rPr>
                <w:szCs w:val="24"/>
              </w:rPr>
              <w:t>(Adresatas)</w:t>
            </w:r>
          </w:p>
        </w:tc>
        <w:tc>
          <w:tcPr>
            <w:tcW w:w="1560" w:type="dxa"/>
            <w:shd w:val="clear" w:color="auto" w:fill="auto"/>
          </w:tcPr>
          <w:p w14:paraId="6A5D2870" w14:textId="77777777" w:rsidR="00D81F3E" w:rsidRDefault="0042394B">
            <w:pPr>
              <w:rPr>
                <w:szCs w:val="24"/>
              </w:rPr>
            </w:pPr>
            <w:r>
              <w:rPr>
                <w:szCs w:val="24"/>
                <w:lang w:eastAsia="lt-LT"/>
              </w:rPr>
              <w:t>(Data)</w:t>
            </w:r>
          </w:p>
        </w:tc>
        <w:tc>
          <w:tcPr>
            <w:tcW w:w="4162" w:type="dxa"/>
            <w:shd w:val="clear" w:color="auto" w:fill="auto"/>
          </w:tcPr>
          <w:p w14:paraId="6A5D2871" w14:textId="77777777" w:rsidR="00D81F3E" w:rsidRDefault="0042394B">
            <w:pPr>
              <w:jc w:val="center"/>
              <w:rPr>
                <w:szCs w:val="24"/>
              </w:rPr>
            </w:pPr>
            <w:r>
              <w:rPr>
                <w:szCs w:val="24"/>
                <w:lang w:eastAsia="lt-LT"/>
              </w:rPr>
              <w:t>(Registracijos numeris)</w:t>
            </w:r>
          </w:p>
        </w:tc>
      </w:tr>
    </w:tbl>
    <w:p w14:paraId="6A5D2873" w14:textId="6E65A375" w:rsidR="00D81F3E" w:rsidRDefault="00D81F3E">
      <w:pPr>
        <w:widowControl w:val="0"/>
        <w:tabs>
          <w:tab w:val="center" w:pos="4819"/>
          <w:tab w:val="right" w:pos="9638"/>
        </w:tabs>
        <w:ind w:firstLine="720"/>
        <w:jc w:val="both"/>
        <w:rPr>
          <w:b/>
          <w:sz w:val="20"/>
          <w:szCs w:val="24"/>
          <w:lang w:eastAsia="lt-LT"/>
        </w:rPr>
      </w:pPr>
    </w:p>
    <w:p w14:paraId="6A5D2874" w14:textId="65C461B4" w:rsidR="00D81F3E" w:rsidRDefault="0042394B">
      <w:pPr>
        <w:jc w:val="center"/>
        <w:rPr>
          <w:b/>
          <w:color w:val="000000"/>
          <w:szCs w:val="24"/>
          <w:lang w:eastAsia="lt-LT"/>
        </w:rPr>
      </w:pPr>
      <w:r>
        <w:rPr>
          <w:b/>
          <w:szCs w:val="24"/>
          <w:lang w:eastAsia="lt-LT"/>
        </w:rPr>
        <w:t xml:space="preserve">IŠVADA DĖL </w:t>
      </w:r>
      <w:r>
        <w:rPr>
          <w:b/>
          <w:color w:val="000000"/>
          <w:szCs w:val="24"/>
          <w:lang w:eastAsia="lt-LT"/>
        </w:rPr>
        <w:t>KORUPCIJOS RIZIKOS ANALIZĖS</w:t>
      </w:r>
    </w:p>
    <w:p w14:paraId="6A5D2875" w14:textId="77777777" w:rsidR="00D81F3E" w:rsidRDefault="00D81F3E">
      <w:pPr>
        <w:shd w:val="clear" w:color="auto" w:fill="FFFFFF"/>
        <w:rPr>
          <w:szCs w:val="24"/>
          <w:lang w:eastAsia="lt-LT"/>
        </w:rPr>
      </w:pPr>
    </w:p>
    <w:p w14:paraId="6A5D2876" w14:textId="77777777" w:rsidR="00D81F3E" w:rsidRDefault="0042394B">
      <w:pPr>
        <w:shd w:val="clear" w:color="auto" w:fill="FFFFFF"/>
        <w:tabs>
          <w:tab w:val="right" w:leader="underscore" w:pos="9638"/>
        </w:tabs>
        <w:ind w:firstLine="567"/>
        <w:jc w:val="both"/>
        <w:rPr>
          <w:i/>
          <w:spacing w:val="-4"/>
          <w:szCs w:val="24"/>
          <w:lang w:eastAsia="lt-LT"/>
        </w:rPr>
      </w:pPr>
      <w:r>
        <w:rPr>
          <w:szCs w:val="24"/>
          <w:lang w:eastAsia="lt-LT"/>
        </w:rPr>
        <w:t xml:space="preserve">Lietuvos Respublikos specialiųjų tyrimų tarnyba (toliau – STT), vadovaudamasi Lietuvos Respublikos korupcijos prevencijos įstatymu (Žin., 2002, Nr. </w:t>
      </w:r>
      <w:hyperlink r:id="rId15" w:tgtFrame="_blank" w:history="1">
        <w:r>
          <w:rPr>
            <w:color w:val="0000FF" w:themeColor="hyperlink"/>
            <w:szCs w:val="24"/>
            <w:u w:val="single"/>
            <w:lang w:eastAsia="lt-LT"/>
          </w:rPr>
          <w:t>57-2297</w:t>
        </w:r>
      </w:hyperlink>
      <w:r>
        <w:rPr>
          <w:szCs w:val="24"/>
          <w:lang w:eastAsia="lt-LT"/>
        </w:rPr>
        <w:t xml:space="preserve">) ir </w:t>
      </w:r>
      <w:r>
        <w:rPr>
          <w:color w:val="000000"/>
          <w:szCs w:val="24"/>
          <w:lang w:eastAsia="lt-LT"/>
        </w:rPr>
        <w:t>Korupcijos riziko</w:t>
      </w:r>
      <w:r>
        <w:rPr>
          <w:color w:val="000000"/>
          <w:szCs w:val="24"/>
          <w:lang w:eastAsia="lt-LT"/>
        </w:rPr>
        <w:t>s</w:t>
      </w:r>
      <w:r>
        <w:rPr>
          <w:color w:val="000000"/>
          <w:spacing w:val="3"/>
          <w:szCs w:val="24"/>
          <w:lang w:eastAsia="lt-LT"/>
        </w:rPr>
        <w:t xml:space="preserve"> analizės atlikimo tvarka, patvirtinta Lietuvos Respublikos </w:t>
      </w:r>
      <w:r>
        <w:rPr>
          <w:color w:val="000000"/>
          <w:szCs w:val="24"/>
          <w:lang w:eastAsia="lt-LT"/>
        </w:rPr>
        <w:t xml:space="preserve">Vyriausybės 2002 m. spalio 8 d. nutarimu Nr. 1601 (Žin., 2002, Nr. </w:t>
      </w:r>
      <w:hyperlink r:id="rId16" w:tgtFrame="_blank" w:history="1">
        <w:r>
          <w:rPr>
            <w:color w:val="0000FF" w:themeColor="hyperlink"/>
            <w:szCs w:val="24"/>
            <w:u w:val="single"/>
            <w:lang w:eastAsia="lt-LT"/>
          </w:rPr>
          <w:t>98-4339</w:t>
        </w:r>
      </w:hyperlink>
      <w:r>
        <w:rPr>
          <w:color w:val="000000"/>
          <w:szCs w:val="24"/>
          <w:lang w:eastAsia="lt-LT"/>
        </w:rPr>
        <w:t>),</w:t>
      </w:r>
      <w:r>
        <w:rPr>
          <w:szCs w:val="24"/>
          <w:lang w:eastAsia="lt-LT"/>
        </w:rPr>
        <w:t xml:space="preserve"> atliko korupcijos rizikos analizę</w:t>
      </w:r>
    </w:p>
    <w:p w14:paraId="6A5D2877" w14:textId="77777777" w:rsidR="00D81F3E" w:rsidRDefault="0042394B">
      <w:pPr>
        <w:shd w:val="clear" w:color="auto" w:fill="FFFFFF"/>
        <w:tabs>
          <w:tab w:val="right" w:leader="underscore" w:pos="9072"/>
        </w:tabs>
        <w:rPr>
          <w:szCs w:val="24"/>
          <w:lang w:eastAsia="lt-LT"/>
        </w:rPr>
      </w:pPr>
      <w:r>
        <w:rPr>
          <w:szCs w:val="24"/>
          <w:lang w:eastAsia="lt-LT"/>
        </w:rPr>
        <w:br w:type="page"/>
      </w:r>
      <w:r>
        <w:rPr>
          <w:szCs w:val="24"/>
          <w:lang w:eastAsia="lt-LT"/>
        </w:rPr>
        <w:lastRenderedPageBreak/>
        <w:t>_</w:t>
      </w:r>
      <w:r>
        <w:rPr>
          <w:szCs w:val="24"/>
          <w:lang w:eastAsia="lt-LT"/>
        </w:rPr>
        <w:tab/>
        <w:t>,</w:t>
      </w:r>
    </w:p>
    <w:p w14:paraId="6A5D2878" w14:textId="77777777" w:rsidR="00D81F3E" w:rsidRDefault="0042394B">
      <w:pPr>
        <w:shd w:val="clear" w:color="auto" w:fill="FFFFFF"/>
        <w:tabs>
          <w:tab w:val="right" w:leader="underscore" w:pos="9072"/>
        </w:tabs>
        <w:jc w:val="center"/>
        <w:rPr>
          <w:i/>
          <w:spacing w:val="-4"/>
          <w:lang w:eastAsia="lt-LT"/>
        </w:rPr>
      </w:pPr>
      <w:r>
        <w:rPr>
          <w:i/>
          <w:spacing w:val="-4"/>
          <w:lang w:eastAsia="lt-LT"/>
        </w:rPr>
        <w:t>(valstybės ar savivaldybės įstaigos pavadinimas)</w:t>
      </w:r>
    </w:p>
    <w:p w14:paraId="6A5D2879" w14:textId="77777777" w:rsidR="00D81F3E" w:rsidRDefault="0042394B">
      <w:pPr>
        <w:shd w:val="clear" w:color="auto" w:fill="FFFFFF"/>
        <w:tabs>
          <w:tab w:val="right" w:leader="underscore" w:pos="9072"/>
        </w:tabs>
        <w:jc w:val="both"/>
        <w:rPr>
          <w:b/>
          <w:szCs w:val="24"/>
        </w:rPr>
      </w:pPr>
      <w:r>
        <w:rPr>
          <w:spacing w:val="-4"/>
          <w:szCs w:val="24"/>
          <w:lang w:eastAsia="lt-LT"/>
        </w:rPr>
        <w:t>šiose v</w:t>
      </w:r>
      <w:r>
        <w:rPr>
          <w:szCs w:val="24"/>
        </w:rPr>
        <w:t>eiklos srityse</w:t>
      </w:r>
      <w:r>
        <w:rPr>
          <w:b/>
          <w:szCs w:val="24"/>
        </w:rPr>
        <w:t>:</w:t>
      </w:r>
    </w:p>
    <w:p w14:paraId="6A5D287A" w14:textId="1F2A3140" w:rsidR="00D81F3E" w:rsidRDefault="0042394B">
      <w:pPr>
        <w:shd w:val="clear" w:color="auto" w:fill="FFFFFF"/>
        <w:tabs>
          <w:tab w:val="right" w:leader="underscore" w:pos="9072"/>
        </w:tabs>
        <w:jc w:val="both"/>
        <w:rPr>
          <w:szCs w:val="24"/>
          <w:lang w:eastAsia="lt-LT"/>
        </w:rPr>
      </w:pPr>
      <w:r>
        <w:rPr>
          <w:szCs w:val="24"/>
          <w:lang w:eastAsia="lt-LT"/>
        </w:rPr>
        <w:t>1</w:t>
      </w:r>
      <w:r>
        <w:rPr>
          <w:szCs w:val="24"/>
          <w:lang w:eastAsia="lt-LT"/>
        </w:rPr>
        <w:t xml:space="preserve">. </w:t>
      </w:r>
      <w:r>
        <w:rPr>
          <w:szCs w:val="24"/>
          <w:lang w:eastAsia="lt-LT"/>
        </w:rPr>
        <w:tab/>
      </w:r>
    </w:p>
    <w:p w14:paraId="6A5D287B" w14:textId="5B268DA9" w:rsidR="00D81F3E" w:rsidRDefault="0042394B">
      <w:pPr>
        <w:shd w:val="clear" w:color="auto" w:fill="FFFFFF"/>
        <w:tabs>
          <w:tab w:val="right" w:leader="underscore" w:pos="9072"/>
        </w:tabs>
        <w:jc w:val="both"/>
        <w:rPr>
          <w:szCs w:val="24"/>
          <w:lang w:eastAsia="lt-LT"/>
        </w:rPr>
      </w:pPr>
      <w:r>
        <w:rPr>
          <w:szCs w:val="24"/>
          <w:lang w:eastAsia="lt-LT"/>
        </w:rPr>
        <w:t>2</w:t>
      </w:r>
      <w:r>
        <w:rPr>
          <w:szCs w:val="24"/>
          <w:lang w:eastAsia="lt-LT"/>
        </w:rPr>
        <w:t xml:space="preserve">. </w:t>
      </w:r>
      <w:r>
        <w:rPr>
          <w:szCs w:val="24"/>
          <w:lang w:eastAsia="lt-LT"/>
        </w:rPr>
        <w:tab/>
      </w:r>
    </w:p>
    <w:p w14:paraId="6A5D287C" w14:textId="48C61099" w:rsidR="00D81F3E" w:rsidRDefault="0042394B">
      <w:pPr>
        <w:shd w:val="clear" w:color="auto" w:fill="FFFFFF"/>
        <w:tabs>
          <w:tab w:val="right" w:leader="underscore" w:pos="9072"/>
        </w:tabs>
        <w:jc w:val="both"/>
        <w:rPr>
          <w:szCs w:val="24"/>
          <w:lang w:eastAsia="lt-LT"/>
        </w:rPr>
      </w:pPr>
      <w:r>
        <w:rPr>
          <w:szCs w:val="24"/>
          <w:lang w:eastAsia="lt-LT"/>
        </w:rPr>
        <w:t>3</w:t>
      </w:r>
      <w:r>
        <w:rPr>
          <w:szCs w:val="24"/>
          <w:lang w:eastAsia="lt-LT"/>
        </w:rPr>
        <w:t xml:space="preserve">. </w:t>
      </w:r>
      <w:r>
        <w:rPr>
          <w:szCs w:val="24"/>
          <w:lang w:eastAsia="lt-LT"/>
        </w:rPr>
        <w:tab/>
      </w:r>
    </w:p>
    <w:p w14:paraId="6A5D287D" w14:textId="77777777" w:rsidR="00D81F3E" w:rsidRDefault="00D81F3E">
      <w:pPr>
        <w:shd w:val="clear" w:color="auto" w:fill="FFFFFF"/>
        <w:tabs>
          <w:tab w:val="right" w:leader="underscore" w:pos="9072"/>
        </w:tabs>
        <w:ind w:firstLine="567"/>
        <w:jc w:val="both"/>
        <w:rPr>
          <w:b/>
          <w:szCs w:val="24"/>
          <w:lang w:eastAsia="lt-LT"/>
        </w:rPr>
      </w:pPr>
    </w:p>
    <w:p w14:paraId="6A5D287E" w14:textId="77777777" w:rsidR="00D81F3E" w:rsidRDefault="0042394B">
      <w:pPr>
        <w:shd w:val="clear" w:color="auto" w:fill="FFFFFF"/>
        <w:tabs>
          <w:tab w:val="right" w:leader="underscore" w:pos="9072"/>
        </w:tabs>
        <w:ind w:firstLine="567"/>
        <w:jc w:val="both"/>
        <w:rPr>
          <w:spacing w:val="-4"/>
          <w:szCs w:val="24"/>
          <w:lang w:eastAsia="lt-LT"/>
        </w:rPr>
      </w:pPr>
      <w:r>
        <w:rPr>
          <w:b/>
          <w:szCs w:val="24"/>
          <w:lang w:eastAsia="lt-LT"/>
        </w:rPr>
        <w:t>K</w:t>
      </w:r>
      <w:r>
        <w:rPr>
          <w:b/>
          <w:spacing w:val="-4"/>
          <w:szCs w:val="24"/>
          <w:lang w:eastAsia="lt-LT"/>
        </w:rPr>
        <w:t>orupcijos rizikos analizės atlikimo pagrindas</w:t>
      </w:r>
      <w:r>
        <w:rPr>
          <w:spacing w:val="-4"/>
          <w:szCs w:val="24"/>
          <w:lang w:eastAsia="lt-LT"/>
        </w:rPr>
        <w:t xml:space="preserve">: </w:t>
      </w:r>
    </w:p>
    <w:p w14:paraId="6A5D287F" w14:textId="77777777" w:rsidR="00D81F3E" w:rsidRDefault="0042394B">
      <w:pPr>
        <w:shd w:val="clear" w:color="auto" w:fill="FFFFFF"/>
        <w:tabs>
          <w:tab w:val="right" w:leader="underscore" w:pos="9072"/>
        </w:tabs>
        <w:rPr>
          <w:szCs w:val="24"/>
          <w:lang w:eastAsia="lt-LT"/>
        </w:rPr>
      </w:pPr>
      <w:r>
        <w:rPr>
          <w:szCs w:val="24"/>
          <w:lang w:eastAsia="lt-LT"/>
        </w:rPr>
        <w:t>_</w:t>
      </w:r>
      <w:r>
        <w:rPr>
          <w:szCs w:val="24"/>
          <w:lang w:eastAsia="lt-LT"/>
        </w:rPr>
        <w:tab/>
      </w:r>
    </w:p>
    <w:p w14:paraId="6A5D2880" w14:textId="77777777" w:rsidR="00D81F3E" w:rsidRDefault="0042394B">
      <w:pPr>
        <w:shd w:val="clear" w:color="auto" w:fill="FFFFFF"/>
        <w:tabs>
          <w:tab w:val="right" w:leader="underscore" w:pos="9072"/>
        </w:tabs>
        <w:rPr>
          <w:szCs w:val="24"/>
          <w:lang w:eastAsia="lt-LT"/>
        </w:rPr>
      </w:pPr>
      <w:r>
        <w:rPr>
          <w:szCs w:val="24"/>
          <w:lang w:eastAsia="lt-LT"/>
        </w:rPr>
        <w:t>_</w:t>
      </w:r>
      <w:r>
        <w:rPr>
          <w:szCs w:val="24"/>
          <w:lang w:eastAsia="lt-LT"/>
        </w:rPr>
        <w:tab/>
      </w:r>
    </w:p>
    <w:p w14:paraId="6A5D2881" w14:textId="77777777" w:rsidR="00D81F3E" w:rsidRDefault="00D81F3E">
      <w:pPr>
        <w:shd w:val="clear" w:color="auto" w:fill="FFFFFF"/>
        <w:tabs>
          <w:tab w:val="right" w:leader="underscore" w:pos="9072"/>
        </w:tabs>
        <w:ind w:firstLine="851"/>
        <w:jc w:val="both"/>
        <w:rPr>
          <w:szCs w:val="24"/>
          <w:lang w:eastAsia="lt-LT"/>
        </w:rPr>
      </w:pPr>
    </w:p>
    <w:p w14:paraId="6A5D2882" w14:textId="77777777" w:rsidR="00D81F3E" w:rsidRDefault="0042394B">
      <w:pPr>
        <w:shd w:val="clear" w:color="auto" w:fill="FFFFFF"/>
        <w:tabs>
          <w:tab w:val="right" w:leader="underscore" w:pos="9072"/>
        </w:tabs>
        <w:ind w:firstLine="567"/>
        <w:jc w:val="both"/>
        <w:rPr>
          <w:szCs w:val="24"/>
          <w:lang w:eastAsia="lt-LT"/>
        </w:rPr>
      </w:pPr>
      <w:r>
        <w:rPr>
          <w:szCs w:val="24"/>
          <w:lang w:eastAsia="lt-LT"/>
        </w:rPr>
        <w:t xml:space="preserve">Korupcijos rizikos analizę atliko: </w:t>
      </w:r>
      <w:r>
        <w:rPr>
          <w:szCs w:val="24"/>
          <w:lang w:eastAsia="lt-LT"/>
        </w:rPr>
        <w:tab/>
      </w:r>
    </w:p>
    <w:p w14:paraId="6A5D2883" w14:textId="77777777" w:rsidR="00D81F3E" w:rsidRDefault="0042394B">
      <w:pPr>
        <w:shd w:val="clear" w:color="auto" w:fill="FFFFFF"/>
        <w:tabs>
          <w:tab w:val="right" w:leader="underscore" w:pos="9071"/>
        </w:tabs>
        <w:ind w:firstLine="567"/>
        <w:jc w:val="both"/>
        <w:rPr>
          <w:i/>
          <w:lang w:eastAsia="lt-LT"/>
        </w:rPr>
      </w:pPr>
      <w:r>
        <w:rPr>
          <w:i/>
          <w:lang w:eastAsia="lt-LT"/>
        </w:rPr>
        <w:t>(STT pareigūno pareigos, vardas ir pavardė)</w:t>
      </w:r>
    </w:p>
    <w:p w14:paraId="6A5D2884" w14:textId="77777777" w:rsidR="00D81F3E" w:rsidRDefault="0042394B">
      <w:pPr>
        <w:shd w:val="clear" w:color="auto" w:fill="FFFFFF"/>
        <w:tabs>
          <w:tab w:val="right" w:leader="underscore" w:pos="9071"/>
        </w:tabs>
        <w:ind w:firstLine="567"/>
        <w:jc w:val="both"/>
        <w:rPr>
          <w:szCs w:val="24"/>
          <w:lang w:eastAsia="lt-LT"/>
        </w:rPr>
      </w:pPr>
      <w:r>
        <w:rPr>
          <w:szCs w:val="24"/>
          <w:lang w:eastAsia="lt-LT"/>
        </w:rPr>
        <w:t xml:space="preserve">Korupcijos rizikos </w:t>
      </w:r>
      <w:r>
        <w:rPr>
          <w:szCs w:val="24"/>
          <w:lang w:eastAsia="lt-LT"/>
        </w:rPr>
        <w:t>analizė pradėta: __________________</w:t>
      </w:r>
    </w:p>
    <w:p w14:paraId="6A5D2885" w14:textId="77777777" w:rsidR="00D81F3E" w:rsidRDefault="0042394B">
      <w:pPr>
        <w:shd w:val="clear" w:color="auto" w:fill="FFFFFF"/>
        <w:tabs>
          <w:tab w:val="right" w:leader="underscore" w:pos="9071"/>
        </w:tabs>
        <w:ind w:firstLine="567"/>
        <w:jc w:val="both"/>
        <w:rPr>
          <w:szCs w:val="24"/>
          <w:lang w:eastAsia="lt-LT"/>
        </w:rPr>
      </w:pPr>
      <w:r>
        <w:rPr>
          <w:szCs w:val="24"/>
          <w:lang w:eastAsia="lt-LT"/>
        </w:rPr>
        <w:t>Korupcijos rizikos analizė baigta: ___________________</w:t>
      </w:r>
    </w:p>
    <w:p w14:paraId="6A5D2886" w14:textId="77777777" w:rsidR="00D81F3E" w:rsidRDefault="00D81F3E">
      <w:pPr>
        <w:shd w:val="clear" w:color="auto" w:fill="FFFFFF"/>
        <w:tabs>
          <w:tab w:val="right" w:leader="underscore" w:pos="9071"/>
        </w:tabs>
        <w:ind w:firstLine="851"/>
        <w:jc w:val="both"/>
        <w:rPr>
          <w:szCs w:val="24"/>
          <w:lang w:eastAsia="lt-LT"/>
        </w:rPr>
      </w:pPr>
    </w:p>
    <w:p w14:paraId="6A5D2887" w14:textId="77777777" w:rsidR="00D81F3E" w:rsidRDefault="0042394B">
      <w:pPr>
        <w:tabs>
          <w:tab w:val="right" w:leader="underscore" w:pos="9072"/>
        </w:tabs>
        <w:ind w:firstLine="567"/>
        <w:jc w:val="both"/>
        <w:rPr>
          <w:szCs w:val="24"/>
        </w:rPr>
      </w:pPr>
      <w:r>
        <w:rPr>
          <w:i/>
          <w:spacing w:val="-4"/>
          <w:szCs w:val="24"/>
          <w:lang w:eastAsia="lt-LT"/>
        </w:rPr>
        <w:t xml:space="preserve">Valstybės ar savivaldybės </w:t>
      </w:r>
      <w:r>
        <w:rPr>
          <w:szCs w:val="24"/>
        </w:rPr>
        <w:t xml:space="preserve">įstaigos veiklos srityje (-yse) korupcijos rizikos analizė atliekama </w:t>
      </w:r>
      <w:r>
        <w:rPr>
          <w:szCs w:val="24"/>
        </w:rPr>
        <w:tab/>
      </w:r>
    </w:p>
    <w:p w14:paraId="6A5D2888" w14:textId="77777777" w:rsidR="00D81F3E" w:rsidRDefault="0042394B">
      <w:pPr>
        <w:tabs>
          <w:tab w:val="right" w:leader="underscore" w:pos="9072"/>
        </w:tabs>
        <w:jc w:val="both"/>
        <w:rPr>
          <w:szCs w:val="24"/>
        </w:rPr>
      </w:pPr>
      <w:r>
        <w:rPr>
          <w:szCs w:val="24"/>
        </w:rPr>
        <w:t>_</w:t>
      </w:r>
      <w:r>
        <w:rPr>
          <w:szCs w:val="24"/>
        </w:rPr>
        <w:tab/>
      </w:r>
    </w:p>
    <w:p w14:paraId="6A5D2889" w14:textId="77777777" w:rsidR="00D81F3E" w:rsidRDefault="0042394B">
      <w:pPr>
        <w:tabs>
          <w:tab w:val="right" w:leader="underscore" w:pos="9072"/>
        </w:tabs>
        <w:jc w:val="center"/>
        <w:rPr>
          <w:i/>
        </w:rPr>
      </w:pPr>
      <w:r>
        <w:rPr>
          <w:i/>
        </w:rPr>
        <w:t xml:space="preserve">(pažymima, ar analizė atlikta pirmą kartą, jei atlikta ne pirmą </w:t>
      </w:r>
      <w:r>
        <w:rPr>
          <w:i/>
        </w:rPr>
        <w:t>kartą – kada paskutinį kartą buvo daryta analizė)</w:t>
      </w:r>
    </w:p>
    <w:p w14:paraId="6A5D288A" w14:textId="77777777" w:rsidR="00D81F3E" w:rsidRDefault="00D81F3E">
      <w:pPr>
        <w:tabs>
          <w:tab w:val="right" w:leader="underscore" w:pos="9072"/>
        </w:tabs>
        <w:ind w:firstLine="851"/>
        <w:jc w:val="both"/>
        <w:rPr>
          <w:szCs w:val="24"/>
        </w:rPr>
      </w:pPr>
    </w:p>
    <w:p w14:paraId="6A5D288B" w14:textId="77777777" w:rsidR="00D81F3E" w:rsidRDefault="0042394B">
      <w:pPr>
        <w:tabs>
          <w:tab w:val="right" w:leader="underscore" w:pos="9072"/>
        </w:tabs>
        <w:ind w:firstLine="851"/>
        <w:jc w:val="both"/>
        <w:rPr>
          <w:szCs w:val="24"/>
        </w:rPr>
      </w:pPr>
      <w:r>
        <w:rPr>
          <w:szCs w:val="24"/>
        </w:rPr>
        <w:t xml:space="preserve">Analizuotas ________________________ laikotarpis. </w:t>
      </w:r>
    </w:p>
    <w:p w14:paraId="6A5D288C" w14:textId="6CBE90C2" w:rsidR="00D81F3E" w:rsidRDefault="00D81F3E">
      <w:pPr>
        <w:tabs>
          <w:tab w:val="right" w:leader="underscore" w:pos="9072"/>
        </w:tabs>
        <w:ind w:firstLine="851"/>
        <w:jc w:val="both"/>
        <w:rPr>
          <w:szCs w:val="24"/>
        </w:rPr>
      </w:pPr>
    </w:p>
    <w:p w14:paraId="6A5D288D" w14:textId="42EAF263" w:rsidR="00D81F3E" w:rsidRDefault="0042394B">
      <w:pPr>
        <w:tabs>
          <w:tab w:val="right" w:leader="underscore" w:pos="9072"/>
        </w:tabs>
        <w:ind w:firstLine="851"/>
        <w:jc w:val="center"/>
        <w:rPr>
          <w:rFonts w:eastAsia="Calibri"/>
          <w:b/>
          <w:szCs w:val="24"/>
          <w:lang w:eastAsia="lt-LT"/>
        </w:rPr>
      </w:pPr>
      <w:r>
        <w:rPr>
          <w:rFonts w:eastAsia="Calibri"/>
          <w:b/>
          <w:szCs w:val="24"/>
          <w:lang w:eastAsia="lt-LT"/>
        </w:rPr>
        <w:t>TURINYS</w:t>
      </w:r>
    </w:p>
    <w:p w14:paraId="6A5D288E" w14:textId="5FF1F0F4" w:rsidR="00D81F3E" w:rsidRDefault="0042394B">
      <w:pPr>
        <w:tabs>
          <w:tab w:val="right" w:leader="underscore" w:pos="9072"/>
        </w:tabs>
        <w:rPr>
          <w:rFonts w:eastAsia="Calibri"/>
          <w:szCs w:val="24"/>
          <w:lang w:eastAsia="lt-LT"/>
        </w:rPr>
      </w:pPr>
      <w:r>
        <w:rPr>
          <w:rFonts w:eastAsia="Calibri"/>
          <w:szCs w:val="24"/>
          <w:lang w:eastAsia="lt-LT"/>
        </w:rPr>
        <w:t>1</w:t>
      </w:r>
      <w:r>
        <w:rPr>
          <w:rFonts w:eastAsia="Calibri"/>
          <w:szCs w:val="24"/>
          <w:lang w:eastAsia="lt-LT"/>
        </w:rPr>
        <w:t xml:space="preserve">. </w:t>
      </w:r>
      <w:r>
        <w:rPr>
          <w:rFonts w:eastAsia="Calibri"/>
          <w:szCs w:val="24"/>
          <w:lang w:eastAsia="lt-LT"/>
        </w:rPr>
        <w:tab/>
      </w:r>
    </w:p>
    <w:p w14:paraId="6A5D288F" w14:textId="4595F87B" w:rsidR="00D81F3E" w:rsidRDefault="0042394B">
      <w:pPr>
        <w:tabs>
          <w:tab w:val="right" w:leader="underscore" w:pos="9072"/>
        </w:tabs>
        <w:rPr>
          <w:rFonts w:eastAsia="Calibri"/>
          <w:szCs w:val="24"/>
          <w:lang w:eastAsia="lt-LT"/>
        </w:rPr>
      </w:pPr>
      <w:r>
        <w:rPr>
          <w:rFonts w:eastAsia="Calibri"/>
          <w:szCs w:val="24"/>
          <w:lang w:eastAsia="lt-LT"/>
        </w:rPr>
        <w:t>2</w:t>
      </w:r>
      <w:r>
        <w:rPr>
          <w:rFonts w:eastAsia="Calibri"/>
          <w:szCs w:val="24"/>
          <w:lang w:eastAsia="lt-LT"/>
        </w:rPr>
        <w:t xml:space="preserve">. </w:t>
      </w:r>
      <w:r>
        <w:rPr>
          <w:rFonts w:eastAsia="Calibri"/>
          <w:szCs w:val="24"/>
          <w:lang w:eastAsia="lt-LT"/>
        </w:rPr>
        <w:tab/>
      </w:r>
    </w:p>
    <w:p w14:paraId="6A5D2890" w14:textId="6C7A9C1D" w:rsidR="00D81F3E" w:rsidRDefault="0042394B">
      <w:pPr>
        <w:tabs>
          <w:tab w:val="right" w:leader="underscore" w:pos="9072"/>
        </w:tabs>
        <w:rPr>
          <w:rFonts w:eastAsia="Calibri"/>
          <w:szCs w:val="24"/>
          <w:lang w:eastAsia="lt-LT"/>
        </w:rPr>
      </w:pPr>
      <w:r>
        <w:rPr>
          <w:rFonts w:eastAsia="Calibri"/>
          <w:szCs w:val="24"/>
          <w:lang w:eastAsia="lt-LT"/>
        </w:rPr>
        <w:t>3</w:t>
      </w:r>
      <w:r>
        <w:rPr>
          <w:rFonts w:eastAsia="Calibri"/>
          <w:szCs w:val="24"/>
          <w:lang w:eastAsia="lt-LT"/>
        </w:rPr>
        <w:t xml:space="preserve">. </w:t>
      </w:r>
      <w:r>
        <w:rPr>
          <w:rFonts w:eastAsia="Calibri"/>
          <w:szCs w:val="24"/>
          <w:lang w:eastAsia="lt-LT"/>
        </w:rPr>
        <w:tab/>
      </w:r>
    </w:p>
    <w:p w14:paraId="6A5D2891" w14:textId="5ADF4871" w:rsidR="00D81F3E" w:rsidRDefault="00D81F3E">
      <w:pPr>
        <w:tabs>
          <w:tab w:val="right" w:leader="underscore" w:pos="9072"/>
        </w:tabs>
        <w:ind w:firstLine="851"/>
        <w:jc w:val="both"/>
        <w:rPr>
          <w:szCs w:val="24"/>
        </w:rPr>
      </w:pPr>
    </w:p>
    <w:p w14:paraId="6A5D2892" w14:textId="3C1F8838" w:rsidR="00D81F3E" w:rsidRDefault="0042394B">
      <w:pPr>
        <w:tabs>
          <w:tab w:val="right" w:leader="underscore" w:pos="9072"/>
        </w:tabs>
        <w:jc w:val="center"/>
        <w:rPr>
          <w:rFonts w:eastAsia="Calibri"/>
          <w:szCs w:val="24"/>
          <w:lang w:eastAsia="lt-LT"/>
        </w:rPr>
      </w:pPr>
      <w:r>
        <w:rPr>
          <w:rFonts w:eastAsia="Calibri"/>
          <w:b/>
          <w:szCs w:val="24"/>
          <w:lang w:eastAsia="lt-LT"/>
        </w:rPr>
        <w:t>APIMTIS IR METODAI</w:t>
      </w:r>
    </w:p>
    <w:p w14:paraId="6A5D2893" w14:textId="77777777" w:rsidR="00D81F3E" w:rsidRDefault="0042394B">
      <w:pPr>
        <w:tabs>
          <w:tab w:val="right" w:leader="underscore" w:pos="9072"/>
        </w:tabs>
        <w:jc w:val="both"/>
        <w:rPr>
          <w:rFonts w:eastAsia="Calibri"/>
          <w:szCs w:val="24"/>
          <w:lang w:eastAsia="lt-LT"/>
        </w:rPr>
      </w:pPr>
      <w:r>
        <w:rPr>
          <w:rFonts w:eastAsia="Calibri"/>
          <w:szCs w:val="24"/>
          <w:lang w:eastAsia="lt-LT"/>
        </w:rPr>
        <w:t xml:space="preserve">Tikslas: </w:t>
      </w:r>
      <w:r>
        <w:rPr>
          <w:rFonts w:eastAsia="Calibri"/>
          <w:szCs w:val="24"/>
          <w:lang w:eastAsia="lt-LT"/>
        </w:rPr>
        <w:tab/>
      </w:r>
    </w:p>
    <w:p w14:paraId="6A5D2894" w14:textId="77777777" w:rsidR="00D81F3E" w:rsidRDefault="0042394B">
      <w:pPr>
        <w:tabs>
          <w:tab w:val="right" w:leader="underscore" w:pos="9072"/>
        </w:tabs>
        <w:rPr>
          <w:rFonts w:eastAsia="Calibri"/>
          <w:szCs w:val="24"/>
          <w:lang w:eastAsia="lt-LT"/>
        </w:rPr>
      </w:pPr>
      <w:r>
        <w:rPr>
          <w:rFonts w:eastAsia="Calibri"/>
          <w:szCs w:val="24"/>
          <w:lang w:eastAsia="lt-LT"/>
        </w:rPr>
        <w:t xml:space="preserve">Uždaviniai: </w:t>
      </w:r>
      <w:r>
        <w:rPr>
          <w:rFonts w:eastAsia="Calibri"/>
          <w:szCs w:val="24"/>
          <w:lang w:eastAsia="lt-LT"/>
        </w:rPr>
        <w:tab/>
      </w:r>
    </w:p>
    <w:p w14:paraId="6A5D2895" w14:textId="77777777" w:rsidR="00D81F3E" w:rsidRDefault="0042394B">
      <w:pPr>
        <w:tabs>
          <w:tab w:val="right" w:leader="underscore" w:pos="9072"/>
        </w:tabs>
        <w:rPr>
          <w:rFonts w:eastAsia="Calibri"/>
          <w:szCs w:val="24"/>
          <w:lang w:eastAsia="lt-LT"/>
        </w:rPr>
      </w:pPr>
      <w:r>
        <w:rPr>
          <w:rFonts w:eastAsia="Calibri"/>
          <w:szCs w:val="24"/>
          <w:lang w:eastAsia="lt-LT"/>
        </w:rPr>
        <w:t xml:space="preserve">Objektas: </w:t>
      </w:r>
      <w:r>
        <w:rPr>
          <w:rFonts w:eastAsia="Calibri"/>
          <w:szCs w:val="24"/>
          <w:lang w:eastAsia="lt-LT"/>
        </w:rPr>
        <w:tab/>
      </w:r>
    </w:p>
    <w:p w14:paraId="6A5D2896" w14:textId="77777777" w:rsidR="00D81F3E" w:rsidRDefault="0042394B">
      <w:pPr>
        <w:tabs>
          <w:tab w:val="right" w:leader="underscore" w:pos="9072"/>
        </w:tabs>
        <w:rPr>
          <w:rFonts w:eastAsia="Calibri"/>
          <w:szCs w:val="24"/>
          <w:lang w:eastAsia="lt-LT"/>
        </w:rPr>
      </w:pPr>
      <w:r>
        <w:rPr>
          <w:rFonts w:eastAsia="Calibri"/>
          <w:szCs w:val="24"/>
          <w:lang w:eastAsia="lt-LT"/>
        </w:rPr>
        <w:t xml:space="preserve">Subjektas: </w:t>
      </w:r>
      <w:r>
        <w:rPr>
          <w:rFonts w:eastAsia="Calibri"/>
          <w:szCs w:val="24"/>
          <w:lang w:eastAsia="lt-LT"/>
        </w:rPr>
        <w:tab/>
      </w:r>
    </w:p>
    <w:p w14:paraId="6A5D2897" w14:textId="77777777" w:rsidR="00D81F3E" w:rsidRDefault="0042394B">
      <w:pPr>
        <w:tabs>
          <w:tab w:val="right" w:leader="underscore" w:pos="9072"/>
        </w:tabs>
        <w:rPr>
          <w:szCs w:val="24"/>
          <w:lang w:eastAsia="lt-LT"/>
        </w:rPr>
      </w:pPr>
      <w:r>
        <w:rPr>
          <w:szCs w:val="24"/>
          <w:lang w:eastAsia="lt-LT"/>
        </w:rPr>
        <w:t xml:space="preserve">Duomenų rinkimo ir vertinimo metodai: </w:t>
      </w:r>
      <w:r>
        <w:rPr>
          <w:szCs w:val="24"/>
          <w:lang w:eastAsia="lt-LT"/>
        </w:rPr>
        <w:tab/>
      </w:r>
    </w:p>
    <w:p w14:paraId="6A5D2898" w14:textId="77777777" w:rsidR="00D81F3E" w:rsidRDefault="0042394B">
      <w:pPr>
        <w:tabs>
          <w:tab w:val="right" w:leader="underscore" w:pos="9072"/>
        </w:tabs>
        <w:jc w:val="both"/>
        <w:rPr>
          <w:szCs w:val="24"/>
          <w:lang w:eastAsia="lt-LT"/>
        </w:rPr>
      </w:pPr>
      <w:r>
        <w:rPr>
          <w:color w:val="000000"/>
          <w:szCs w:val="24"/>
          <w:lang w:eastAsia="lt-LT"/>
        </w:rPr>
        <w:t xml:space="preserve">Lietuvos Respublikos specialiųjų tyrimų tarnybos pareigūnų atliekamo </w:t>
      </w:r>
      <w:r>
        <w:rPr>
          <w:bCs/>
          <w:color w:val="000000"/>
          <w:szCs w:val="24"/>
          <w:lang w:eastAsia="lt-LT"/>
        </w:rPr>
        <w:t>išvadų dėl korupcijos pasireiškimo tikimybių vertinimo</w:t>
      </w:r>
      <w:r>
        <w:rPr>
          <w:b/>
          <w:bCs/>
          <w:caps/>
          <w:color w:val="000000"/>
          <w:szCs w:val="24"/>
          <w:lang w:eastAsia="lt-LT"/>
        </w:rPr>
        <w:t xml:space="preserve"> </w:t>
      </w:r>
      <w:r>
        <w:rPr>
          <w:bCs/>
          <w:color w:val="000000"/>
          <w:szCs w:val="24"/>
          <w:lang w:eastAsia="lt-LT"/>
        </w:rPr>
        <w:t>ir</w:t>
      </w:r>
      <w:r>
        <w:rPr>
          <w:b/>
          <w:bCs/>
          <w:caps/>
          <w:color w:val="000000"/>
          <w:szCs w:val="24"/>
          <w:lang w:eastAsia="lt-LT"/>
        </w:rPr>
        <w:t xml:space="preserve"> </w:t>
      </w:r>
      <w:r>
        <w:rPr>
          <w:color w:val="000000"/>
          <w:szCs w:val="24"/>
          <w:lang w:eastAsia="lt-LT"/>
        </w:rPr>
        <w:t>korupcijos rizikos analizės atlikimo tvarkos aprašo 14 punkte nurodyta informacija</w:t>
      </w:r>
      <w:r>
        <w:rPr>
          <w:szCs w:val="24"/>
          <w:lang w:eastAsia="lt-LT"/>
        </w:rPr>
        <w:t>:</w:t>
      </w:r>
    </w:p>
    <w:p w14:paraId="6A5D2899" w14:textId="77777777" w:rsidR="00D81F3E" w:rsidRDefault="0042394B">
      <w:pPr>
        <w:tabs>
          <w:tab w:val="right" w:leader="underscore" w:pos="9072"/>
        </w:tabs>
        <w:jc w:val="both"/>
        <w:rPr>
          <w:szCs w:val="24"/>
          <w:lang w:eastAsia="lt-LT"/>
        </w:rPr>
      </w:pPr>
      <w:r>
        <w:rPr>
          <w:szCs w:val="24"/>
          <w:lang w:eastAsia="lt-LT"/>
        </w:rPr>
        <w:t>_</w:t>
      </w:r>
      <w:r>
        <w:rPr>
          <w:szCs w:val="24"/>
          <w:lang w:eastAsia="lt-LT"/>
        </w:rPr>
        <w:tab/>
      </w:r>
    </w:p>
    <w:p w14:paraId="6A5D289A" w14:textId="77777777" w:rsidR="00D81F3E" w:rsidRDefault="0042394B">
      <w:pPr>
        <w:shd w:val="clear" w:color="auto" w:fill="FFFFFF"/>
        <w:tabs>
          <w:tab w:val="right" w:leader="underscore" w:pos="9072"/>
        </w:tabs>
        <w:rPr>
          <w:szCs w:val="24"/>
          <w:lang w:eastAsia="lt-LT"/>
        </w:rPr>
      </w:pPr>
      <w:r>
        <w:rPr>
          <w:szCs w:val="24"/>
          <w:lang w:eastAsia="lt-LT"/>
        </w:rPr>
        <w:t>_</w:t>
      </w:r>
      <w:r>
        <w:rPr>
          <w:szCs w:val="24"/>
          <w:lang w:eastAsia="lt-LT"/>
        </w:rPr>
        <w:tab/>
      </w:r>
    </w:p>
    <w:p w14:paraId="6A5D289B" w14:textId="2ED8541C" w:rsidR="00D81F3E" w:rsidRDefault="00D81F3E">
      <w:pPr>
        <w:shd w:val="clear" w:color="auto" w:fill="FFFFFF"/>
        <w:tabs>
          <w:tab w:val="right" w:leader="underscore" w:pos="9072"/>
        </w:tabs>
        <w:ind w:firstLine="851"/>
        <w:jc w:val="both"/>
        <w:rPr>
          <w:b/>
          <w:szCs w:val="24"/>
          <w:lang w:eastAsia="lt-LT"/>
        </w:rPr>
      </w:pPr>
    </w:p>
    <w:p w14:paraId="6A5D289C" w14:textId="245C711A" w:rsidR="00D81F3E" w:rsidRDefault="0042394B">
      <w:pPr>
        <w:shd w:val="clear" w:color="auto" w:fill="FFFFFF"/>
        <w:tabs>
          <w:tab w:val="right" w:leader="underscore" w:pos="9072"/>
        </w:tabs>
        <w:ind w:firstLine="567"/>
        <w:jc w:val="both"/>
        <w:rPr>
          <w:b/>
          <w:szCs w:val="24"/>
        </w:rPr>
      </w:pPr>
      <w:r>
        <w:rPr>
          <w:b/>
          <w:szCs w:val="24"/>
        </w:rPr>
        <w:t xml:space="preserve">Atliekant korupcijos rizikos </w:t>
      </w:r>
      <w:r>
        <w:rPr>
          <w:b/>
          <w:szCs w:val="24"/>
        </w:rPr>
        <w:t>analizę, nustatyta:</w:t>
      </w:r>
    </w:p>
    <w:p w14:paraId="6A5D289D" w14:textId="019297C7" w:rsidR="00D81F3E" w:rsidRDefault="0042394B">
      <w:pPr>
        <w:shd w:val="clear" w:color="auto" w:fill="FFFFFF"/>
        <w:tabs>
          <w:tab w:val="right" w:leader="underscore" w:pos="9072"/>
        </w:tabs>
        <w:jc w:val="both"/>
        <w:rPr>
          <w:szCs w:val="24"/>
          <w:lang w:eastAsia="lt-LT"/>
        </w:rPr>
      </w:pPr>
      <w:r>
        <w:rPr>
          <w:szCs w:val="24"/>
          <w:lang w:eastAsia="lt-LT"/>
        </w:rPr>
        <w:t>1</w:t>
      </w:r>
      <w:r>
        <w:rPr>
          <w:szCs w:val="24"/>
          <w:lang w:eastAsia="lt-LT"/>
        </w:rPr>
        <w:t xml:space="preserve">. </w:t>
      </w:r>
      <w:r>
        <w:rPr>
          <w:szCs w:val="24"/>
          <w:lang w:eastAsia="lt-LT"/>
        </w:rPr>
        <w:tab/>
      </w:r>
    </w:p>
    <w:p w14:paraId="6A5D289E" w14:textId="696C4F8C" w:rsidR="00D81F3E" w:rsidRDefault="0042394B">
      <w:pPr>
        <w:shd w:val="clear" w:color="auto" w:fill="FFFFFF"/>
        <w:tabs>
          <w:tab w:val="right" w:leader="underscore" w:pos="9072"/>
        </w:tabs>
        <w:jc w:val="both"/>
        <w:rPr>
          <w:szCs w:val="24"/>
          <w:lang w:eastAsia="lt-LT"/>
        </w:rPr>
      </w:pPr>
      <w:r>
        <w:rPr>
          <w:szCs w:val="24"/>
          <w:lang w:eastAsia="lt-LT"/>
        </w:rPr>
        <w:t>2</w:t>
      </w:r>
      <w:r>
        <w:rPr>
          <w:szCs w:val="24"/>
          <w:lang w:eastAsia="lt-LT"/>
        </w:rPr>
        <w:t xml:space="preserve">. </w:t>
      </w:r>
      <w:r>
        <w:rPr>
          <w:szCs w:val="24"/>
          <w:lang w:eastAsia="lt-LT"/>
        </w:rPr>
        <w:tab/>
      </w:r>
    </w:p>
    <w:p w14:paraId="6A5D289F" w14:textId="392F4C04" w:rsidR="00D81F3E" w:rsidRDefault="0042394B">
      <w:pPr>
        <w:shd w:val="clear" w:color="auto" w:fill="FFFFFF"/>
        <w:tabs>
          <w:tab w:val="right" w:leader="underscore" w:pos="9072"/>
        </w:tabs>
        <w:jc w:val="both"/>
        <w:rPr>
          <w:szCs w:val="24"/>
          <w:lang w:eastAsia="lt-LT"/>
        </w:rPr>
      </w:pPr>
      <w:r>
        <w:rPr>
          <w:szCs w:val="24"/>
          <w:lang w:eastAsia="lt-LT"/>
        </w:rPr>
        <w:t>3</w:t>
      </w:r>
      <w:r>
        <w:rPr>
          <w:szCs w:val="24"/>
          <w:lang w:eastAsia="lt-LT"/>
        </w:rPr>
        <w:t xml:space="preserve">. </w:t>
      </w:r>
      <w:r>
        <w:rPr>
          <w:szCs w:val="24"/>
          <w:lang w:eastAsia="lt-LT"/>
        </w:rPr>
        <w:tab/>
      </w:r>
    </w:p>
    <w:p w14:paraId="6A5D28A0" w14:textId="42F3F720" w:rsidR="00D81F3E" w:rsidRDefault="00D81F3E">
      <w:pPr>
        <w:shd w:val="clear" w:color="auto" w:fill="FFFFFF"/>
        <w:tabs>
          <w:tab w:val="right" w:leader="underscore" w:pos="9072"/>
        </w:tabs>
        <w:jc w:val="both"/>
        <w:rPr>
          <w:szCs w:val="24"/>
          <w:lang w:eastAsia="lt-LT"/>
        </w:rPr>
      </w:pPr>
    </w:p>
    <w:p w14:paraId="6A5D28A1" w14:textId="7C05DC19" w:rsidR="00D81F3E" w:rsidRDefault="0042394B">
      <w:pPr>
        <w:shd w:val="clear" w:color="auto" w:fill="FFFFFF"/>
        <w:tabs>
          <w:tab w:val="right" w:leader="underscore" w:pos="9072"/>
        </w:tabs>
        <w:ind w:firstLine="567"/>
        <w:jc w:val="both"/>
        <w:rPr>
          <w:b/>
          <w:szCs w:val="24"/>
          <w:lang w:eastAsia="lt-LT"/>
        </w:rPr>
      </w:pPr>
      <w:r>
        <w:rPr>
          <w:b/>
          <w:szCs w:val="24"/>
          <w:lang w:eastAsia="lt-LT"/>
        </w:rPr>
        <w:t>Motyvuotos išvados:</w:t>
      </w:r>
    </w:p>
    <w:p w14:paraId="6A5D28A2" w14:textId="2C69B4C5" w:rsidR="00D81F3E" w:rsidRDefault="0042394B">
      <w:pPr>
        <w:shd w:val="clear" w:color="auto" w:fill="FFFFFF"/>
        <w:tabs>
          <w:tab w:val="right" w:leader="underscore" w:pos="9072"/>
        </w:tabs>
        <w:jc w:val="both"/>
        <w:rPr>
          <w:szCs w:val="24"/>
          <w:lang w:eastAsia="lt-LT"/>
        </w:rPr>
      </w:pPr>
      <w:r>
        <w:rPr>
          <w:szCs w:val="24"/>
          <w:lang w:eastAsia="lt-LT"/>
        </w:rPr>
        <w:t>1</w:t>
      </w:r>
      <w:r>
        <w:rPr>
          <w:szCs w:val="24"/>
          <w:lang w:eastAsia="lt-LT"/>
        </w:rPr>
        <w:t xml:space="preserve">. </w:t>
      </w:r>
      <w:r>
        <w:rPr>
          <w:szCs w:val="24"/>
          <w:lang w:eastAsia="lt-LT"/>
        </w:rPr>
        <w:tab/>
      </w:r>
    </w:p>
    <w:p w14:paraId="6A5D28A3" w14:textId="44FA4CB5" w:rsidR="00D81F3E" w:rsidRDefault="0042394B">
      <w:pPr>
        <w:shd w:val="clear" w:color="auto" w:fill="FFFFFF"/>
        <w:tabs>
          <w:tab w:val="right" w:leader="underscore" w:pos="9072"/>
        </w:tabs>
        <w:jc w:val="both"/>
        <w:rPr>
          <w:szCs w:val="24"/>
          <w:lang w:eastAsia="lt-LT"/>
        </w:rPr>
      </w:pPr>
      <w:r>
        <w:rPr>
          <w:szCs w:val="24"/>
          <w:lang w:eastAsia="lt-LT"/>
        </w:rPr>
        <w:t>2</w:t>
      </w:r>
      <w:r>
        <w:rPr>
          <w:szCs w:val="24"/>
          <w:lang w:eastAsia="lt-LT"/>
        </w:rPr>
        <w:t xml:space="preserve">. </w:t>
      </w:r>
      <w:r>
        <w:rPr>
          <w:szCs w:val="24"/>
          <w:lang w:eastAsia="lt-LT"/>
        </w:rPr>
        <w:tab/>
      </w:r>
    </w:p>
    <w:p w14:paraId="6A5D28A4" w14:textId="40227482" w:rsidR="00D81F3E" w:rsidRDefault="0042394B">
      <w:pPr>
        <w:shd w:val="clear" w:color="auto" w:fill="FFFFFF"/>
        <w:tabs>
          <w:tab w:val="right" w:leader="underscore" w:pos="9072"/>
        </w:tabs>
        <w:jc w:val="both"/>
        <w:rPr>
          <w:szCs w:val="24"/>
          <w:lang w:eastAsia="lt-LT"/>
        </w:rPr>
      </w:pPr>
      <w:r>
        <w:rPr>
          <w:szCs w:val="24"/>
          <w:lang w:eastAsia="lt-LT"/>
        </w:rPr>
        <w:t>3</w:t>
      </w:r>
      <w:r>
        <w:rPr>
          <w:szCs w:val="24"/>
          <w:lang w:eastAsia="lt-LT"/>
        </w:rPr>
        <w:t xml:space="preserve">. </w:t>
      </w:r>
      <w:r>
        <w:rPr>
          <w:szCs w:val="24"/>
          <w:lang w:eastAsia="lt-LT"/>
        </w:rPr>
        <w:tab/>
      </w:r>
    </w:p>
    <w:p w14:paraId="6A5D28A5" w14:textId="4DDB9592" w:rsidR="00D81F3E" w:rsidRDefault="00D81F3E">
      <w:pPr>
        <w:shd w:val="clear" w:color="auto" w:fill="FFFFFF"/>
        <w:tabs>
          <w:tab w:val="right" w:leader="underscore" w:pos="9072"/>
        </w:tabs>
        <w:jc w:val="both"/>
        <w:rPr>
          <w:szCs w:val="24"/>
          <w:lang w:eastAsia="lt-LT"/>
        </w:rPr>
      </w:pPr>
    </w:p>
    <w:p w14:paraId="6A5D28A6" w14:textId="59176D85" w:rsidR="00D81F3E" w:rsidRDefault="0042394B">
      <w:pPr>
        <w:shd w:val="clear" w:color="auto" w:fill="FFFFFF"/>
        <w:tabs>
          <w:tab w:val="right" w:leader="underscore" w:pos="9072"/>
        </w:tabs>
        <w:ind w:firstLine="567"/>
        <w:jc w:val="both"/>
        <w:rPr>
          <w:b/>
          <w:szCs w:val="24"/>
          <w:lang w:eastAsia="lt-LT"/>
        </w:rPr>
      </w:pPr>
      <w:r>
        <w:rPr>
          <w:b/>
          <w:szCs w:val="24"/>
          <w:lang w:eastAsia="lt-LT"/>
        </w:rPr>
        <w:br w:type="page"/>
      </w:r>
      <w:r>
        <w:rPr>
          <w:b/>
          <w:szCs w:val="24"/>
          <w:lang w:eastAsia="lt-LT"/>
        </w:rPr>
        <w:lastRenderedPageBreak/>
        <w:t>Pasiūlymai:</w:t>
      </w:r>
    </w:p>
    <w:p w14:paraId="6A5D28A7" w14:textId="435D4863" w:rsidR="00D81F3E" w:rsidRDefault="0042394B">
      <w:pPr>
        <w:shd w:val="clear" w:color="auto" w:fill="FFFFFF"/>
        <w:tabs>
          <w:tab w:val="right" w:leader="underscore" w:pos="9072"/>
        </w:tabs>
        <w:jc w:val="both"/>
        <w:rPr>
          <w:szCs w:val="24"/>
          <w:lang w:eastAsia="lt-LT"/>
        </w:rPr>
      </w:pPr>
      <w:r>
        <w:rPr>
          <w:szCs w:val="24"/>
          <w:lang w:eastAsia="lt-LT"/>
        </w:rPr>
        <w:t>1</w:t>
      </w:r>
      <w:r>
        <w:rPr>
          <w:szCs w:val="24"/>
          <w:lang w:eastAsia="lt-LT"/>
        </w:rPr>
        <w:t xml:space="preserve">. </w:t>
      </w:r>
      <w:r>
        <w:rPr>
          <w:szCs w:val="24"/>
          <w:lang w:eastAsia="lt-LT"/>
        </w:rPr>
        <w:tab/>
      </w:r>
    </w:p>
    <w:p w14:paraId="6A5D28A8" w14:textId="53A73659" w:rsidR="00D81F3E" w:rsidRDefault="0042394B">
      <w:pPr>
        <w:shd w:val="clear" w:color="auto" w:fill="FFFFFF"/>
        <w:tabs>
          <w:tab w:val="right" w:leader="underscore" w:pos="9072"/>
        </w:tabs>
        <w:jc w:val="both"/>
        <w:rPr>
          <w:szCs w:val="24"/>
          <w:lang w:eastAsia="lt-LT"/>
        </w:rPr>
      </w:pPr>
      <w:r>
        <w:rPr>
          <w:szCs w:val="24"/>
          <w:lang w:eastAsia="lt-LT"/>
        </w:rPr>
        <w:t>2</w:t>
      </w:r>
      <w:r>
        <w:rPr>
          <w:szCs w:val="24"/>
          <w:lang w:eastAsia="lt-LT"/>
        </w:rPr>
        <w:t xml:space="preserve">. </w:t>
      </w:r>
      <w:r>
        <w:rPr>
          <w:szCs w:val="24"/>
          <w:lang w:eastAsia="lt-LT"/>
        </w:rPr>
        <w:tab/>
      </w:r>
    </w:p>
    <w:p w14:paraId="6A5D28A9" w14:textId="78708BBF" w:rsidR="00D81F3E" w:rsidRDefault="0042394B">
      <w:pPr>
        <w:shd w:val="clear" w:color="auto" w:fill="FFFFFF"/>
        <w:tabs>
          <w:tab w:val="right" w:leader="underscore" w:pos="9072"/>
        </w:tabs>
        <w:jc w:val="both"/>
        <w:rPr>
          <w:szCs w:val="24"/>
          <w:lang w:eastAsia="lt-LT"/>
        </w:rPr>
      </w:pPr>
      <w:r>
        <w:rPr>
          <w:szCs w:val="24"/>
          <w:lang w:eastAsia="lt-LT"/>
        </w:rPr>
        <w:t>3</w:t>
      </w:r>
      <w:r>
        <w:rPr>
          <w:szCs w:val="24"/>
          <w:lang w:eastAsia="lt-LT"/>
        </w:rPr>
        <w:t xml:space="preserve">. </w:t>
      </w:r>
      <w:r>
        <w:rPr>
          <w:szCs w:val="24"/>
          <w:lang w:eastAsia="lt-LT"/>
        </w:rPr>
        <w:tab/>
      </w:r>
    </w:p>
    <w:p w14:paraId="6A5D28AA" w14:textId="77777777" w:rsidR="00D81F3E" w:rsidRDefault="00D81F3E">
      <w:pPr>
        <w:shd w:val="clear" w:color="auto" w:fill="FFFFFF"/>
        <w:tabs>
          <w:tab w:val="right" w:leader="underscore" w:pos="9071"/>
        </w:tabs>
        <w:jc w:val="both"/>
        <w:rPr>
          <w:szCs w:val="24"/>
          <w:lang w:eastAsia="lt-LT"/>
        </w:rPr>
      </w:pPr>
    </w:p>
    <w:tbl>
      <w:tblPr>
        <w:tblW w:w="9070" w:type="dxa"/>
        <w:tblLook w:val="01E0" w:firstRow="1" w:lastRow="1" w:firstColumn="1" w:lastColumn="1" w:noHBand="0" w:noVBand="0"/>
      </w:tblPr>
      <w:tblGrid>
        <w:gridCol w:w="3595"/>
        <w:gridCol w:w="2197"/>
        <w:gridCol w:w="3278"/>
      </w:tblGrid>
      <w:tr w:rsidR="00D81F3E" w14:paraId="6A5D28AE" w14:textId="77777777">
        <w:tc>
          <w:tcPr>
            <w:tcW w:w="2988" w:type="dxa"/>
          </w:tcPr>
          <w:p w14:paraId="6A5D28AB" w14:textId="77777777" w:rsidR="00D81F3E" w:rsidRDefault="0042394B">
            <w:pPr>
              <w:tabs>
                <w:tab w:val="left" w:pos="5245"/>
              </w:tabs>
              <w:rPr>
                <w:szCs w:val="24"/>
                <w:lang w:eastAsia="lt-LT"/>
              </w:rPr>
            </w:pPr>
            <w:r>
              <w:rPr>
                <w:szCs w:val="24"/>
                <w:lang w:eastAsia="lt-LT"/>
              </w:rPr>
              <w:t>(Pareigų pavadinimas)</w:t>
            </w:r>
          </w:p>
        </w:tc>
        <w:tc>
          <w:tcPr>
            <w:tcW w:w="1826" w:type="dxa"/>
          </w:tcPr>
          <w:p w14:paraId="6A5D28AC" w14:textId="77777777" w:rsidR="00D81F3E" w:rsidRDefault="0042394B">
            <w:pPr>
              <w:tabs>
                <w:tab w:val="left" w:pos="5245"/>
              </w:tabs>
              <w:jc w:val="center"/>
              <w:rPr>
                <w:szCs w:val="24"/>
                <w:lang w:eastAsia="lt-LT"/>
              </w:rPr>
            </w:pPr>
            <w:r>
              <w:rPr>
                <w:szCs w:val="24"/>
                <w:lang w:eastAsia="lt-LT"/>
              </w:rPr>
              <w:t>(Parašas)</w:t>
            </w:r>
          </w:p>
        </w:tc>
        <w:tc>
          <w:tcPr>
            <w:tcW w:w="2724" w:type="dxa"/>
          </w:tcPr>
          <w:p w14:paraId="6A5D28AD" w14:textId="77777777" w:rsidR="00D81F3E" w:rsidRDefault="0042394B">
            <w:pPr>
              <w:tabs>
                <w:tab w:val="left" w:pos="5245"/>
              </w:tabs>
              <w:jc w:val="center"/>
              <w:rPr>
                <w:szCs w:val="24"/>
                <w:lang w:eastAsia="lt-LT"/>
              </w:rPr>
            </w:pPr>
            <w:r>
              <w:rPr>
                <w:szCs w:val="24"/>
                <w:lang w:eastAsia="lt-LT"/>
              </w:rPr>
              <w:t>(Vardas ir pavardė)</w:t>
            </w:r>
          </w:p>
        </w:tc>
      </w:tr>
    </w:tbl>
    <w:p w14:paraId="6A5D28AF" w14:textId="77777777" w:rsidR="00D81F3E" w:rsidRDefault="00D81F3E">
      <w:pPr>
        <w:tabs>
          <w:tab w:val="center" w:pos="4560"/>
          <w:tab w:val="center" w:pos="7680"/>
          <w:tab w:val="right" w:leader="underscore" w:pos="9071"/>
        </w:tabs>
        <w:rPr>
          <w:szCs w:val="24"/>
          <w:lang w:eastAsia="lt-LT"/>
        </w:rPr>
      </w:pPr>
    </w:p>
    <w:p w14:paraId="6A5D28B0" w14:textId="77777777" w:rsidR="00D81F3E" w:rsidRDefault="0042394B">
      <w:pPr>
        <w:tabs>
          <w:tab w:val="right" w:leader="underscore" w:pos="9071"/>
        </w:tabs>
        <w:rPr>
          <w:szCs w:val="24"/>
          <w:lang w:eastAsia="lt-LT"/>
        </w:rPr>
      </w:pPr>
      <w:r>
        <w:rPr>
          <w:szCs w:val="24"/>
          <w:lang w:eastAsia="lt-LT"/>
        </w:rPr>
        <w:t>(Rengėjo nuoroda)</w:t>
      </w:r>
    </w:p>
    <w:p w14:paraId="6A5D28B1" w14:textId="4CB1B91D" w:rsidR="00D81F3E" w:rsidRDefault="00D81F3E">
      <w:pPr>
        <w:rPr>
          <w:szCs w:val="24"/>
          <w:lang w:eastAsia="lt-LT"/>
        </w:rPr>
      </w:pPr>
    </w:p>
    <w:p w14:paraId="6A5D28B2" w14:textId="6726FA94" w:rsidR="00D81F3E" w:rsidRDefault="0042394B">
      <w:pPr>
        <w:jc w:val="center"/>
        <w:rPr>
          <w:szCs w:val="24"/>
          <w:lang w:eastAsia="lt-LT"/>
        </w:rPr>
      </w:pPr>
      <w:r>
        <w:rPr>
          <w:szCs w:val="24"/>
          <w:lang w:eastAsia="lt-LT"/>
        </w:rPr>
        <w:t>_________________</w:t>
      </w:r>
    </w:p>
    <w:sectPr w:rsidR="00D81F3E">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37"/>
    <w:rsid w:val="0042394B"/>
    <w:rsid w:val="00BC3F37"/>
    <w:rsid w:val="00D81F3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39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39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29CE5ABB799"/>
  <Relationship Id="rId11" Type="http://schemas.openxmlformats.org/officeDocument/2006/relationships/hyperlink" TargetMode="External" Target="https://www.e-tar.lt/portal/lt/legalAct/TAR.BDAF45BFBE89"/>
  <Relationship Id="rId12" Type="http://schemas.openxmlformats.org/officeDocument/2006/relationships/hyperlink" TargetMode="External" Target="https://www.e-tar.lt/portal/lt/legalAct/TAR.0AB72275FBEA"/>
  <Relationship Id="rId13" Type="http://schemas.openxmlformats.org/officeDocument/2006/relationships/hyperlink" TargetMode="External" Target="https://www.e-tar.lt/portal/lt/legalAct/TAR.B96A881B578F"/>
  <Relationship Id="rId14" Type="http://schemas.openxmlformats.org/officeDocument/2006/relationships/image" Target="media/image1.png"/>
  <Relationship Id="rId15" Type="http://schemas.openxmlformats.org/officeDocument/2006/relationships/hyperlink" TargetMode="External" Target="https://www.e-tar.lt/portal/lt/legalAct/TAR.4DBDE27621A2"/>
  <Relationship Id="rId16" Type="http://schemas.openxmlformats.org/officeDocument/2006/relationships/hyperlink" TargetMode="External" Target="https://www.e-tar.lt/portal/lt/legalAct/TAR.B96A881B578F"/>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9C9FA25983BC"/>
  <Relationship Id="rId7" Type="http://schemas.openxmlformats.org/officeDocument/2006/relationships/hyperlink" TargetMode="External" Target="https://www.e-tar.lt/portal/lt/legalAct/TAR.41956AE5209B"/>
  <Relationship Id="rId8" Type="http://schemas.openxmlformats.org/officeDocument/2006/relationships/hyperlink" TargetMode="External" Target="https://www.e-tar.lt/portal/lt/legalAct/TAR.B96A881B578F"/>
  <Relationship Id="rId9" Type="http://schemas.openxmlformats.org/officeDocument/2006/relationships/hyperlink" TargetMode="External" Target="https://www.e-tar.lt/portal/lt/legalAct/TAR.4DBDE27621A2"/>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FA"/>
    <w:rsid w:val="00D633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33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3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9353</Words>
  <Characters>5332</Characters>
  <Application>Microsoft Office Word</Application>
  <DocSecurity>0</DocSecurity>
  <Lines>44</Lines>
  <Paragraphs>29</Paragraphs>
  <ScaleCrop>false</ScaleCrop>
  <Company>Teisines informacijos centras</Company>
  <LinksUpToDate>false</LinksUpToDate>
  <CharactersWithSpaces>14656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2015-06-23T20:36:00Z</dcterms:created>
  <dc:creator>Kamilija</dc:creator>
  <lastModifiedBy>GRUNDAITĖ Aistė</lastModifiedBy>
  <dcterms:modified xsi:type="dcterms:W3CDTF">2017-08-29T07:28:00Z</dcterms:modified>
  <revision>3</revision>
  <dc:title>LIETUVOS RESPUBLIKOS SPECIALIŲJŲ TYRIMŲ TARNYBOS DIREKTORIAUS</dc:title>
</coreProperties>
</file>