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053C5" w14:textId="77777777" w:rsidR="00EA3B3B" w:rsidRDefault="00EA3B3B">
      <w:pPr>
        <w:tabs>
          <w:tab w:val="center" w:pos="4153"/>
          <w:tab w:val="right" w:pos="8306"/>
        </w:tabs>
        <w:rPr>
          <w:lang w:val="en-GB"/>
        </w:rPr>
      </w:pPr>
    </w:p>
    <w:p w14:paraId="179053C6" w14:textId="77777777" w:rsidR="00EA3B3B" w:rsidRDefault="009C33D6">
      <w:pPr>
        <w:keepNext/>
        <w:jc w:val="center"/>
        <w:rPr>
          <w:caps/>
        </w:rPr>
      </w:pPr>
      <w:r>
        <w:rPr>
          <w:caps/>
          <w:lang w:eastAsia="lt-LT"/>
        </w:rPr>
        <w:pict w14:anchorId="17905417">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Pr>
          <w:caps/>
        </w:rPr>
        <w:t>Lietuvos Respublikos Vyriausybė</w:t>
      </w:r>
    </w:p>
    <w:p w14:paraId="179053C7" w14:textId="77777777" w:rsidR="00EA3B3B" w:rsidRDefault="009C33D6">
      <w:pPr>
        <w:jc w:val="center"/>
        <w:rPr>
          <w:caps/>
          <w:spacing w:val="60"/>
        </w:rPr>
      </w:pPr>
      <w:r>
        <w:rPr>
          <w:caps/>
          <w:spacing w:val="60"/>
        </w:rPr>
        <w:t>NUTARIMAS</w:t>
      </w:r>
    </w:p>
    <w:p w14:paraId="179053C8" w14:textId="77777777" w:rsidR="00EA3B3B" w:rsidRDefault="00EA3B3B">
      <w:pPr>
        <w:jc w:val="center"/>
        <w:rPr>
          <w:b/>
          <w:caps/>
        </w:rPr>
      </w:pPr>
    </w:p>
    <w:p w14:paraId="179053C9" w14:textId="77777777" w:rsidR="00EA3B3B" w:rsidRDefault="009C33D6">
      <w:pPr>
        <w:jc w:val="center"/>
        <w:rPr>
          <w:b/>
          <w:caps/>
        </w:rPr>
      </w:pPr>
      <w:r>
        <w:rPr>
          <w:b/>
          <w:caps/>
        </w:rPr>
        <w:t xml:space="preserve">Dėl </w:t>
      </w:r>
      <w:r>
        <w:rPr>
          <w:b/>
        </w:rPr>
        <w:t>LIETUVOS RESPUBLIKOS VYRIAUSYBĖS 2003 M. LAPKRIČIO 12 D. NUTARIMO NR. 1407 „DĖL JURIDINIŲ ASMENŲ REGISTRO ĮSTEIGIMO IR JURIDINIŲ ASMENŲ REGISTRO NUOSTATŲ PATVIRTINIMO“ PAKEIT</w:t>
      </w:r>
      <w:r>
        <w:rPr>
          <w:b/>
        </w:rPr>
        <w:t>IMO</w:t>
      </w:r>
    </w:p>
    <w:p w14:paraId="179053CA" w14:textId="77777777" w:rsidR="00EA3B3B" w:rsidRDefault="00EA3B3B"/>
    <w:p w14:paraId="179053CB" w14:textId="77777777" w:rsidR="00EA3B3B" w:rsidRDefault="009C33D6">
      <w:pPr>
        <w:jc w:val="center"/>
        <w:rPr>
          <w:color w:val="000000"/>
        </w:rPr>
      </w:pPr>
      <w:r>
        <w:t>2012 m. gruodžio 5 d.</w:t>
      </w:r>
      <w:r>
        <w:rPr>
          <w:color w:val="000000"/>
        </w:rPr>
        <w:t xml:space="preserve"> Nr. </w:t>
      </w:r>
      <w:r>
        <w:t>1452</w:t>
      </w:r>
    </w:p>
    <w:p w14:paraId="179053CC" w14:textId="77777777" w:rsidR="00EA3B3B" w:rsidRDefault="009C33D6">
      <w:pPr>
        <w:jc w:val="center"/>
        <w:rPr>
          <w:color w:val="000000"/>
        </w:rPr>
      </w:pPr>
      <w:r>
        <w:rPr>
          <w:color w:val="000000"/>
        </w:rPr>
        <w:t>Vilnius</w:t>
      </w:r>
    </w:p>
    <w:p w14:paraId="179053CD" w14:textId="77777777" w:rsidR="00EA3B3B" w:rsidRDefault="00EA3B3B">
      <w:pPr>
        <w:jc w:val="center"/>
        <w:rPr>
          <w:color w:val="000000"/>
        </w:rPr>
      </w:pPr>
    </w:p>
    <w:p w14:paraId="179053CE" w14:textId="77777777" w:rsidR="00EA3B3B" w:rsidRDefault="009C33D6">
      <w:pPr>
        <w:ind w:firstLine="567"/>
        <w:jc w:val="both"/>
      </w:pPr>
      <w:r>
        <w:t xml:space="preserve">Lietuvos Respublikos Vyriausybė </w:t>
      </w:r>
      <w:r>
        <w:rPr>
          <w:spacing w:val="60"/>
        </w:rPr>
        <w:t>nutari</w:t>
      </w:r>
      <w:r>
        <w:t>a:</w:t>
      </w:r>
    </w:p>
    <w:p w14:paraId="179053CF" w14:textId="77777777" w:rsidR="00EA3B3B" w:rsidRDefault="009C33D6">
      <w:pPr>
        <w:ind w:firstLine="567"/>
        <w:jc w:val="both"/>
        <w:rPr>
          <w:iCs/>
        </w:rPr>
      </w:pPr>
      <w:r>
        <w:t>1</w:t>
      </w:r>
      <w:r>
        <w:t>. Pakeisti Juridinių asmenų registro nuostatus, patvirtintus Lietuvos Respublikos Vyriausybės 2003 m. lapkričio 12 d. nutarimu Nr. 1407 „Dėl Juridinių asmenų registr</w:t>
      </w:r>
      <w:r>
        <w:t xml:space="preserve">o įsteigimo ir Juridinių asmenų registro nuostatų patvirtinimo“ (Žin., 2003, Nr. </w:t>
      </w:r>
      <w:hyperlink r:id="rId10" w:tgtFrame="_blank" w:history="1">
        <w:r>
          <w:rPr>
            <w:color w:val="0000FF" w:themeColor="hyperlink"/>
            <w:u w:val="single"/>
          </w:rPr>
          <w:t>107-4810</w:t>
        </w:r>
      </w:hyperlink>
      <w:r>
        <w:t xml:space="preserve">; 2004, Nr. </w:t>
      </w:r>
      <w:hyperlink r:id="rId11" w:tgtFrame="_blank" w:history="1">
        <w:r>
          <w:rPr>
            <w:color w:val="0000FF" w:themeColor="hyperlink"/>
            <w:u w:val="single"/>
          </w:rPr>
          <w:t>104-3841</w:t>
        </w:r>
      </w:hyperlink>
      <w:r>
        <w:t xml:space="preserve">; 2006, Nr. </w:t>
      </w:r>
      <w:hyperlink r:id="rId12" w:tgtFrame="_blank" w:history="1">
        <w:r>
          <w:rPr>
            <w:color w:val="0000FF" w:themeColor="hyperlink"/>
            <w:u w:val="single"/>
          </w:rPr>
          <w:t>44-1600</w:t>
        </w:r>
      </w:hyperlink>
      <w:r>
        <w:t xml:space="preserve">; 2007, Nr. </w:t>
      </w:r>
      <w:hyperlink r:id="rId13" w:tgtFrame="_blank" w:history="1">
        <w:r>
          <w:rPr>
            <w:color w:val="0000FF" w:themeColor="hyperlink"/>
            <w:u w:val="single"/>
          </w:rPr>
          <w:t>15-537</w:t>
        </w:r>
      </w:hyperlink>
      <w:r>
        <w:t xml:space="preserve">; 2009, Nr. </w:t>
      </w:r>
      <w:hyperlink r:id="rId14" w:tgtFrame="_blank" w:history="1">
        <w:r>
          <w:rPr>
            <w:color w:val="0000FF" w:themeColor="hyperlink"/>
            <w:u w:val="single"/>
          </w:rPr>
          <w:t>135-5882</w:t>
        </w:r>
      </w:hyperlink>
      <w:r>
        <w:t xml:space="preserve">; 2010, Nr. </w:t>
      </w:r>
      <w:hyperlink r:id="rId15" w:tgtFrame="_blank" w:history="1">
        <w:r>
          <w:rPr>
            <w:color w:val="0000FF" w:themeColor="hyperlink"/>
            <w:u w:val="single"/>
          </w:rPr>
          <w:t>90-4771</w:t>
        </w:r>
      </w:hyperlink>
      <w:r>
        <w:t xml:space="preserve">; 2011, </w:t>
      </w:r>
      <w:r>
        <w:rPr>
          <w:iCs/>
        </w:rPr>
        <w:t xml:space="preserve">Nr. </w:t>
      </w:r>
      <w:hyperlink r:id="rId16" w:tgtFrame="_blank" w:history="1">
        <w:r>
          <w:rPr>
            <w:iCs/>
            <w:color w:val="0000FF" w:themeColor="hyperlink"/>
            <w:u w:val="single"/>
          </w:rPr>
          <w:t>75-3612</w:t>
        </w:r>
      </w:hyperlink>
      <w:r>
        <w:rPr>
          <w:iCs/>
        </w:rPr>
        <w:t xml:space="preserve">, Nr. </w:t>
      </w:r>
      <w:hyperlink r:id="rId17" w:tgtFrame="_blank" w:history="1">
        <w:r>
          <w:rPr>
            <w:iCs/>
            <w:color w:val="0000FF" w:themeColor="hyperlink"/>
            <w:u w:val="single"/>
          </w:rPr>
          <w:t>118-5562</w:t>
        </w:r>
      </w:hyperlink>
      <w:r>
        <w:rPr>
          <w:iCs/>
        </w:rPr>
        <w:t>;</w:t>
      </w:r>
      <w:r>
        <w:t xml:space="preserve"> 2012, Nr. </w:t>
      </w:r>
      <w:hyperlink r:id="rId18" w:tgtFrame="_blank" w:history="1">
        <w:r>
          <w:rPr>
            <w:color w:val="0000FF" w:themeColor="hyperlink"/>
            <w:u w:val="single"/>
          </w:rPr>
          <w:t>116-5873</w:t>
        </w:r>
      </w:hyperlink>
      <w:r>
        <w:rPr>
          <w:iCs/>
        </w:rPr>
        <w:t>):</w:t>
      </w:r>
    </w:p>
    <w:p w14:paraId="179053D0" w14:textId="77777777" w:rsidR="00EA3B3B" w:rsidRDefault="009C33D6">
      <w:pPr>
        <w:ind w:firstLine="567"/>
        <w:jc w:val="both"/>
        <w:rPr>
          <w:iCs/>
        </w:rPr>
      </w:pPr>
      <w:r>
        <w:rPr>
          <w:iCs/>
        </w:rPr>
        <w:t>1.1</w:t>
      </w:r>
      <w:r>
        <w:rPr>
          <w:iCs/>
        </w:rPr>
        <w:t>. Papildyti 9.8</w:t>
      </w:r>
      <w:r>
        <w:rPr>
          <w:iCs/>
          <w:vertAlign w:val="superscript"/>
        </w:rPr>
        <w:t>1</w:t>
      </w:r>
      <w:r>
        <w:rPr>
          <w:iCs/>
        </w:rPr>
        <w:t xml:space="preserve"> punktu:</w:t>
      </w:r>
    </w:p>
    <w:p w14:paraId="179053D1" w14:textId="77777777" w:rsidR="00EA3B3B" w:rsidRDefault="009C33D6">
      <w:pPr>
        <w:ind w:firstLine="567"/>
        <w:jc w:val="both"/>
      </w:pPr>
      <w:r>
        <w:t>„</w:t>
      </w:r>
      <w:r>
        <w:rPr>
          <w:iCs/>
        </w:rPr>
        <w:t>9.8</w:t>
      </w:r>
      <w:r>
        <w:rPr>
          <w:iCs/>
          <w:vertAlign w:val="superscript"/>
        </w:rPr>
        <w:t>1</w:t>
      </w:r>
      <w:r>
        <w:t>. praneša prokurorui, kad yra at</w:t>
      </w:r>
      <w:r>
        <w:t>siradusios įstatyme numatytos aplinkybės kreiptis į teismą dėl labdaros ir paramos fondo veiklos tyrimo;“.</w:t>
      </w:r>
    </w:p>
    <w:p w14:paraId="179053D2" w14:textId="77777777" w:rsidR="00EA3B3B" w:rsidRDefault="009C33D6">
      <w:pPr>
        <w:ind w:firstLine="567"/>
        <w:jc w:val="both"/>
        <w:rPr>
          <w:iCs/>
        </w:rPr>
      </w:pPr>
      <w:r>
        <w:rPr>
          <w:iCs/>
        </w:rPr>
        <w:t>1.2</w:t>
      </w:r>
      <w:r>
        <w:rPr>
          <w:iCs/>
        </w:rPr>
        <w:t>. Išdėstyti 9.17 punktą taip:</w:t>
      </w:r>
    </w:p>
    <w:p w14:paraId="179053D3" w14:textId="77777777" w:rsidR="00EA3B3B" w:rsidRDefault="009C33D6">
      <w:pPr>
        <w:ind w:firstLine="567"/>
        <w:jc w:val="both"/>
      </w:pPr>
      <w:r>
        <w:t>„</w:t>
      </w:r>
      <w:r>
        <w:t>9.17</w:t>
      </w:r>
      <w:r>
        <w:t>. tvirtina Viešųjų juridinių asmenų veiklos tikslų ir veiklos sričių klasifikatorių;“.</w:t>
      </w:r>
    </w:p>
    <w:p w14:paraId="179053D4" w14:textId="77777777" w:rsidR="00EA3B3B" w:rsidRDefault="009C33D6">
      <w:pPr>
        <w:ind w:firstLine="567"/>
        <w:jc w:val="both"/>
      </w:pPr>
      <w:r>
        <w:t>1.3</w:t>
      </w:r>
      <w:r>
        <w:t>. P</w:t>
      </w:r>
      <w:r>
        <w:t>apildyti 18.16</w:t>
      </w:r>
      <w:r>
        <w:rPr>
          <w:vertAlign w:val="superscript"/>
        </w:rPr>
        <w:t>1</w:t>
      </w:r>
      <w:r>
        <w:t xml:space="preserve"> punktu:</w:t>
      </w:r>
    </w:p>
    <w:p w14:paraId="179053D5" w14:textId="77777777" w:rsidR="00EA3B3B" w:rsidRDefault="009C33D6">
      <w:pPr>
        <w:ind w:firstLine="567"/>
        <w:jc w:val="both"/>
      </w:pPr>
      <w:r>
        <w:t>„</w:t>
      </w:r>
      <w:r>
        <w:t>18.16</w:t>
      </w:r>
      <w:r>
        <w:rPr>
          <w:vertAlign w:val="superscript"/>
        </w:rPr>
        <w:t>1</w:t>
      </w:r>
      <w:r>
        <w:t>. pranešimo, kad yra atsiradusios įstatyme numatytos aplinkybės kreiptis į teismą dėl labdaros ir paramos fondo veiklos tyrimo, pateikimo prokurorui data;“.</w:t>
      </w:r>
    </w:p>
    <w:p w14:paraId="179053D6" w14:textId="77777777" w:rsidR="00EA3B3B" w:rsidRDefault="009C33D6">
      <w:pPr>
        <w:ind w:firstLine="567"/>
        <w:jc w:val="both"/>
      </w:pPr>
      <w:r>
        <w:rPr>
          <w:iCs/>
        </w:rPr>
        <w:t>1.4</w:t>
      </w:r>
      <w:r>
        <w:rPr>
          <w:iCs/>
        </w:rPr>
        <w:t>. Išdėstyti 18.32 punktą taip:</w:t>
      </w:r>
    </w:p>
    <w:p w14:paraId="179053D7" w14:textId="77777777" w:rsidR="00EA3B3B" w:rsidRDefault="009C33D6">
      <w:pPr>
        <w:ind w:firstLine="567"/>
        <w:jc w:val="both"/>
      </w:pPr>
      <w:r>
        <w:t>„</w:t>
      </w:r>
      <w:r>
        <w:t>18.32</w:t>
      </w:r>
      <w:r>
        <w:t>. Registro tvark</w:t>
      </w:r>
      <w:r>
        <w:t>ytojui teritorinės valstybinės mokesčių inspekcijos pateikta informacija dėl siūlymo inicijuoti juridinio asmens likvidavimą.“</w:t>
      </w:r>
    </w:p>
    <w:p w14:paraId="179053D8" w14:textId="77777777" w:rsidR="00EA3B3B" w:rsidRDefault="009C33D6">
      <w:pPr>
        <w:ind w:firstLine="567"/>
        <w:jc w:val="both"/>
      </w:pPr>
      <w:r>
        <w:t>1.5</w:t>
      </w:r>
      <w:r>
        <w:t>. Išbraukti 23.7 punkte žodžius „labdaros ir paramos fondus“.</w:t>
      </w:r>
    </w:p>
    <w:p w14:paraId="179053D9" w14:textId="77777777" w:rsidR="00EA3B3B" w:rsidRDefault="009C33D6">
      <w:pPr>
        <w:ind w:firstLine="567"/>
        <w:jc w:val="both"/>
      </w:pPr>
      <w:r>
        <w:t>1.6</w:t>
      </w:r>
      <w:r>
        <w:t>. Papildyti 23.7</w:t>
      </w:r>
      <w:r>
        <w:rPr>
          <w:vertAlign w:val="superscript"/>
        </w:rPr>
        <w:t>1</w:t>
      </w:r>
      <w:r>
        <w:t xml:space="preserve"> punktu:</w:t>
      </w:r>
    </w:p>
    <w:p w14:paraId="179053DA" w14:textId="77777777" w:rsidR="00EA3B3B" w:rsidRDefault="009C33D6">
      <w:pPr>
        <w:ind w:firstLine="567"/>
        <w:jc w:val="both"/>
      </w:pPr>
      <w:r>
        <w:t>„</w:t>
      </w:r>
      <w:r>
        <w:t>23.7</w:t>
      </w:r>
      <w:r>
        <w:rPr>
          <w:vertAlign w:val="superscript"/>
        </w:rPr>
        <w:t>1</w:t>
      </w:r>
      <w:r>
        <w:t>. apie labdaros</w:t>
      </w:r>
      <w:r>
        <w:t xml:space="preserve"> ir paramos fondus:</w:t>
      </w:r>
    </w:p>
    <w:p w14:paraId="179053DB" w14:textId="77777777" w:rsidR="00EA3B3B" w:rsidRDefault="009C33D6">
      <w:pPr>
        <w:ind w:firstLine="567"/>
        <w:jc w:val="both"/>
      </w:pPr>
      <w:r>
        <w:t>23.7</w:t>
      </w:r>
      <w:r>
        <w:rPr>
          <w:vertAlign w:val="superscript"/>
        </w:rPr>
        <w:t>1</w:t>
      </w:r>
      <w:r>
        <w:t>.1</w:t>
      </w:r>
      <w:r>
        <w:t>. paramos gavėjo statuso suteikimo ir panaikinimo datos, jeigu toks statusas suteiktas;</w:t>
      </w:r>
    </w:p>
    <w:p w14:paraId="179053DC" w14:textId="77777777" w:rsidR="00EA3B3B" w:rsidRDefault="009C33D6">
      <w:pPr>
        <w:ind w:firstLine="567"/>
        <w:jc w:val="both"/>
      </w:pPr>
      <w:r>
        <w:t>23.7</w:t>
      </w:r>
      <w:r>
        <w:rPr>
          <w:vertAlign w:val="superscript"/>
        </w:rPr>
        <w:t>1</w:t>
      </w:r>
      <w:r>
        <w:t>.2</w:t>
      </w:r>
      <w:r>
        <w:t>. neliečiamojo kapitalo dydis, jei labdaros ir paramos fondas valdo neliečiamąjį kapitalą;“.</w:t>
      </w:r>
    </w:p>
    <w:p w14:paraId="179053DD" w14:textId="77777777" w:rsidR="00EA3B3B" w:rsidRDefault="009C33D6">
      <w:pPr>
        <w:ind w:firstLine="567"/>
        <w:jc w:val="both"/>
      </w:pPr>
      <w:r>
        <w:t>1.7</w:t>
      </w:r>
      <w:r>
        <w:t>. Papildyti 24</w:t>
      </w:r>
      <w:r>
        <w:rPr>
          <w:vertAlign w:val="superscript"/>
        </w:rPr>
        <w:t>2</w:t>
      </w:r>
      <w:r>
        <w:t xml:space="preserve"> punktu:</w:t>
      </w:r>
    </w:p>
    <w:p w14:paraId="179053DE" w14:textId="77777777" w:rsidR="00EA3B3B" w:rsidRDefault="009C33D6">
      <w:pPr>
        <w:ind w:firstLine="567"/>
        <w:jc w:val="both"/>
      </w:pPr>
      <w:r>
        <w:t>„</w:t>
      </w:r>
      <w:r>
        <w:t>24</w:t>
      </w:r>
      <w:r>
        <w:rPr>
          <w:vertAlign w:val="superscript"/>
        </w:rPr>
        <w:t>2</w:t>
      </w:r>
      <w:r>
        <w:t>. Be informacijos, nurodytos šių Nuostatų 18 punkte, Registre įrašoma ir tvarkoma ši informacija apie labdaros ir paramos fondus, valdančius neliečiamąjį kapitalą:</w:t>
      </w:r>
    </w:p>
    <w:p w14:paraId="179053DF" w14:textId="77777777" w:rsidR="00EA3B3B" w:rsidRDefault="009C33D6">
      <w:pPr>
        <w:ind w:firstLine="567"/>
        <w:jc w:val="both"/>
      </w:pPr>
      <w:r>
        <w:t>24</w:t>
      </w:r>
      <w:r>
        <w:rPr>
          <w:vertAlign w:val="superscript"/>
        </w:rPr>
        <w:t>2</w:t>
      </w:r>
      <w:r>
        <w:t>.1</w:t>
      </w:r>
      <w:r>
        <w:t>. veiklos rūšis – neliečiamojo kapitalo valdymas;</w:t>
      </w:r>
    </w:p>
    <w:p w14:paraId="179053E0" w14:textId="77777777" w:rsidR="00EA3B3B" w:rsidRDefault="009C33D6">
      <w:pPr>
        <w:ind w:firstLine="567"/>
        <w:jc w:val="both"/>
      </w:pPr>
      <w:r>
        <w:t>24</w:t>
      </w:r>
      <w:r>
        <w:rPr>
          <w:vertAlign w:val="superscript"/>
        </w:rPr>
        <w:t>2</w:t>
      </w:r>
      <w:r>
        <w:t>.2</w:t>
      </w:r>
      <w:r>
        <w:t>. sprendimo</w:t>
      </w:r>
      <w:r>
        <w:t xml:space="preserve"> pradėti neliečiamojo kapitalo valdymą priėmimo data;</w:t>
      </w:r>
    </w:p>
    <w:p w14:paraId="179053E1" w14:textId="77777777" w:rsidR="00EA3B3B" w:rsidRDefault="009C33D6">
      <w:pPr>
        <w:ind w:firstLine="567"/>
        <w:jc w:val="both"/>
      </w:pPr>
      <w:r>
        <w:t>24</w:t>
      </w:r>
      <w:r>
        <w:rPr>
          <w:vertAlign w:val="superscript"/>
        </w:rPr>
        <w:t>2</w:t>
      </w:r>
      <w:r>
        <w:t>.3</w:t>
      </w:r>
      <w:r>
        <w:t>. sprendimo nutraukti neliečiamojo kapitalo valdymą priėmimo data, organo pavadinimas ar duomenys apie teismą, priėmusį sprendimą nutraukti neliečiamojo kapitalo valdymą, teismo sprendimo įsiga</w:t>
      </w:r>
      <w:r>
        <w:t>liojimo (įsiteisėjimo) data;</w:t>
      </w:r>
    </w:p>
    <w:p w14:paraId="179053E2" w14:textId="77777777" w:rsidR="00EA3B3B" w:rsidRDefault="009C33D6">
      <w:pPr>
        <w:ind w:firstLine="567"/>
        <w:jc w:val="both"/>
      </w:pPr>
      <w:r>
        <w:t>24</w:t>
      </w:r>
      <w:r>
        <w:rPr>
          <w:vertAlign w:val="superscript"/>
        </w:rPr>
        <w:t>2</w:t>
      </w:r>
      <w:r>
        <w:t>.4</w:t>
      </w:r>
      <w:r>
        <w:t>. sprendimo formuoti neliečiamąjį kapitalą iš lėšų priėmimo data, organo, priėmusio sprendimą, pavadinimas;</w:t>
      </w:r>
    </w:p>
    <w:p w14:paraId="179053E3" w14:textId="77777777" w:rsidR="00EA3B3B" w:rsidRDefault="009C33D6">
      <w:pPr>
        <w:ind w:firstLine="567"/>
        <w:jc w:val="both"/>
      </w:pPr>
      <w:r>
        <w:t>24</w:t>
      </w:r>
      <w:r>
        <w:rPr>
          <w:vertAlign w:val="superscript"/>
        </w:rPr>
        <w:t>2</w:t>
      </w:r>
      <w:r>
        <w:t>.5</w:t>
      </w:r>
      <w:r>
        <w:t>. informacija, kad per įstatymo nustatytą terminą neliečiamasis kapitalas nebuvo suformuotas, informa</w:t>
      </w:r>
      <w:r>
        <w:t>cijos pateikimo data arba informacijos įrašymo Registro tvarkytojo iniciatyva data;</w:t>
      </w:r>
    </w:p>
    <w:p w14:paraId="179053E4" w14:textId="77777777" w:rsidR="00EA3B3B" w:rsidRDefault="009C33D6">
      <w:pPr>
        <w:ind w:firstLine="567"/>
        <w:jc w:val="both"/>
      </w:pPr>
      <w:r>
        <w:t>24</w:t>
      </w:r>
      <w:r>
        <w:rPr>
          <w:vertAlign w:val="superscript"/>
        </w:rPr>
        <w:t>2</w:t>
      </w:r>
      <w:r>
        <w:t>.6</w:t>
      </w:r>
      <w:r>
        <w:t>. informacija, kad neliečiamasis kapitalas buvo suformuotas, bet per įstatymo nustatytą terminą nepradėtas valdyti, informacijos pateikimo data;</w:t>
      </w:r>
    </w:p>
    <w:p w14:paraId="179053E5" w14:textId="77777777" w:rsidR="00EA3B3B" w:rsidRDefault="009C33D6">
      <w:pPr>
        <w:ind w:firstLine="567"/>
        <w:jc w:val="both"/>
      </w:pPr>
      <w:r>
        <w:t>24</w:t>
      </w:r>
      <w:r>
        <w:rPr>
          <w:vertAlign w:val="superscript"/>
        </w:rPr>
        <w:t>2</w:t>
      </w:r>
      <w:r>
        <w:t>.7</w:t>
      </w:r>
      <w:r>
        <w:t>. auditor</w:t>
      </w:r>
      <w:r>
        <w:t>iaus išvados dėl metinių finansinių ataskaitų pateikimo Registro tvarkytojui data;</w:t>
      </w:r>
    </w:p>
    <w:p w14:paraId="179053E6" w14:textId="77777777" w:rsidR="00EA3B3B" w:rsidRDefault="009C33D6">
      <w:pPr>
        <w:ind w:firstLine="567"/>
        <w:jc w:val="both"/>
      </w:pPr>
      <w:r>
        <w:t>24</w:t>
      </w:r>
      <w:r>
        <w:rPr>
          <w:vertAlign w:val="superscript"/>
        </w:rPr>
        <w:t>2</w:t>
      </w:r>
      <w:r>
        <w:t>.8</w:t>
      </w:r>
      <w:r>
        <w:t>. metinio pranešimo pateikimo Registro tvarkytojui data.“</w:t>
      </w:r>
    </w:p>
    <w:p w14:paraId="179053E7" w14:textId="77777777" w:rsidR="00EA3B3B" w:rsidRDefault="009C33D6">
      <w:pPr>
        <w:ind w:firstLine="567"/>
        <w:jc w:val="both"/>
      </w:pPr>
      <w:r>
        <w:t>1.8</w:t>
      </w:r>
      <w:r>
        <w:t>. Papildyti 36</w:t>
      </w:r>
      <w:r>
        <w:rPr>
          <w:vertAlign w:val="superscript"/>
        </w:rPr>
        <w:t>1</w:t>
      </w:r>
      <w:r>
        <w:t xml:space="preserve"> punktą trečiąja pastraipa:</w:t>
      </w:r>
    </w:p>
    <w:p w14:paraId="179053E8" w14:textId="77777777" w:rsidR="00EA3B3B" w:rsidRDefault="009C33D6">
      <w:pPr>
        <w:ind w:firstLine="567"/>
        <w:jc w:val="both"/>
      </w:pPr>
      <w:r>
        <w:t>„Registro tvarkytojui turi būti pateikiami kiti do</w:t>
      </w:r>
      <w:r>
        <w:t xml:space="preserve">kumentai, patvirtinantys, kad atliktos visos įstatymuose nustatytos procedūros.“ </w:t>
      </w:r>
    </w:p>
    <w:p w14:paraId="179053E9" w14:textId="77777777" w:rsidR="00EA3B3B" w:rsidRDefault="009C33D6">
      <w:pPr>
        <w:ind w:firstLine="567"/>
        <w:jc w:val="both"/>
      </w:pPr>
      <w:r>
        <w:t>1.9</w:t>
      </w:r>
      <w:r>
        <w:t>. Išdėstyti 36</w:t>
      </w:r>
      <w:r>
        <w:rPr>
          <w:vertAlign w:val="superscript"/>
        </w:rPr>
        <w:t>2</w:t>
      </w:r>
      <w:r>
        <w:t xml:space="preserve"> punkto pirmąją pastraipą taip:</w:t>
      </w:r>
    </w:p>
    <w:p w14:paraId="179053EA" w14:textId="77777777" w:rsidR="00EA3B3B" w:rsidRDefault="009C33D6">
      <w:pPr>
        <w:ind w:firstLine="567"/>
        <w:jc w:val="both"/>
      </w:pPr>
      <w:r>
        <w:t>„</w:t>
      </w:r>
      <w:r>
        <w:t>36</w:t>
      </w:r>
      <w:r>
        <w:rPr>
          <w:vertAlign w:val="superscript"/>
        </w:rPr>
        <w:t>2</w:t>
      </w:r>
      <w:r>
        <w:t>. Steigiant asociaciją, viešąją įstaigą ar labdaros ir paramos fondą, keičiant asociacijos, viešosios įstaigos</w:t>
      </w:r>
      <w:r>
        <w:t xml:space="preserve"> ar labdaros ir paramos fondo steigimo dokumentus, šiuose Nuostatuose nustatyti dokumentai gali būti elektroniniu būdu pateikiami tiesiogiai Registro tvarkytojui, jeigu įstatymuose nurodyti steigimo dokumentai ir steigimo sandoris rengiami vadovaujantis pa</w:t>
      </w:r>
      <w:r>
        <w:t>vyzdinėmis formomis, asociacijos, viešosios įstaigos ar labdaros ir paramos fondo pavadinime neketinama vartoti trumpojo valstybės pavadinimo „Lietuva“, asociacijos, viešosios įstaigos ar labdaros ir paramos fondo veiklos tikslai ir veiklos sritys atitinka</w:t>
      </w:r>
      <w:r>
        <w:t xml:space="preserve"> Viešųjų juridinių asmenų veiklos tikslų ir veiklos sričių klasifikatorių ir labdaros ir paramos fondas nevaldo neliečiamojo kapitalo.“</w:t>
      </w:r>
    </w:p>
    <w:p w14:paraId="179053EB" w14:textId="77777777" w:rsidR="00EA3B3B" w:rsidRDefault="009C33D6">
      <w:pPr>
        <w:ind w:firstLine="567"/>
        <w:jc w:val="both"/>
      </w:pPr>
      <w:r>
        <w:t>1.10</w:t>
      </w:r>
      <w:r>
        <w:t>. Papildyti 36</w:t>
      </w:r>
      <w:r>
        <w:rPr>
          <w:vertAlign w:val="superscript"/>
        </w:rPr>
        <w:t>2</w:t>
      </w:r>
      <w:r>
        <w:t xml:space="preserve"> punktą trečiąja pastraipa:</w:t>
      </w:r>
    </w:p>
    <w:p w14:paraId="179053EC" w14:textId="77777777" w:rsidR="00EA3B3B" w:rsidRDefault="009C33D6">
      <w:pPr>
        <w:ind w:firstLine="567"/>
        <w:jc w:val="both"/>
      </w:pPr>
      <w:r>
        <w:t xml:space="preserve">„Registro tvarkytojui turi būti pateikiami kiti dokumentai, patvirtinantys, kad atliktos visos įstatymuose nustatytos procedūros.“ </w:t>
      </w:r>
    </w:p>
    <w:p w14:paraId="179053ED" w14:textId="77777777" w:rsidR="00EA3B3B" w:rsidRDefault="009C33D6">
      <w:pPr>
        <w:ind w:firstLine="567"/>
        <w:jc w:val="both"/>
      </w:pPr>
      <w:r>
        <w:t>1.11</w:t>
      </w:r>
      <w:r>
        <w:t>. Papildyti 55</w:t>
      </w:r>
      <w:r>
        <w:rPr>
          <w:vertAlign w:val="superscript"/>
        </w:rPr>
        <w:t>1</w:t>
      </w:r>
      <w:r>
        <w:t xml:space="preserve"> punktu:</w:t>
      </w:r>
    </w:p>
    <w:p w14:paraId="179053EE" w14:textId="77777777" w:rsidR="00EA3B3B" w:rsidRDefault="009C33D6">
      <w:pPr>
        <w:ind w:firstLine="567"/>
        <w:jc w:val="both"/>
      </w:pPr>
      <w:r>
        <w:t>„</w:t>
      </w:r>
      <w:r>
        <w:t>55</w:t>
      </w:r>
      <w:r>
        <w:rPr>
          <w:vertAlign w:val="superscript"/>
        </w:rPr>
        <w:t>1</w:t>
      </w:r>
      <w:r>
        <w:t xml:space="preserve">. Steigiant labdaros ir paramos fondą, kuris valdys neliečiamąjį kapitalą, be šių </w:t>
      </w:r>
      <w:r>
        <w:t>Nuostatų 55 punkte nurodytų dokumentų, Registro tvarkytojui pateikiamas steigiamojo susirinkimo sprendimas pradėti neliečiamojo kapitalo valdymą.“</w:t>
      </w:r>
    </w:p>
    <w:p w14:paraId="179053EF" w14:textId="77777777" w:rsidR="00EA3B3B" w:rsidRDefault="009C33D6">
      <w:pPr>
        <w:ind w:firstLine="567"/>
        <w:jc w:val="both"/>
      </w:pPr>
      <w:r>
        <w:t>1.12</w:t>
      </w:r>
      <w:r>
        <w:t>. Papildyti 76.4 punktu:</w:t>
      </w:r>
    </w:p>
    <w:p w14:paraId="179053F0" w14:textId="77777777" w:rsidR="00EA3B3B" w:rsidRDefault="009C33D6">
      <w:pPr>
        <w:ind w:firstLine="567"/>
        <w:jc w:val="both"/>
      </w:pPr>
      <w:r>
        <w:t>„</w:t>
      </w:r>
      <w:r>
        <w:t>76.4</w:t>
      </w:r>
      <w:r>
        <w:t>. užsienio juridinio asmens ar organizacijos sutikimas naudoti ši</w:t>
      </w:r>
      <w:r>
        <w:t>o užsienio juridinio asmens ar organizacijos pavadinimą, kai Lietuvos Respublikos civilinio kodekso 2.40 straipsnio 3 dalyje nustatytu atveju juridinis asmuo susijęs su užsienio juridiniu asmeniu ar organizacija.“</w:t>
      </w:r>
    </w:p>
    <w:p w14:paraId="179053F1" w14:textId="77777777" w:rsidR="00EA3B3B" w:rsidRDefault="009C33D6">
      <w:pPr>
        <w:keepNext/>
        <w:ind w:firstLine="567"/>
        <w:jc w:val="both"/>
      </w:pPr>
      <w:r>
        <w:t>1.13</w:t>
      </w:r>
      <w:r>
        <w:t>. Papildyti 76</w:t>
      </w:r>
      <w:r>
        <w:rPr>
          <w:vertAlign w:val="superscript"/>
        </w:rPr>
        <w:t>1</w:t>
      </w:r>
      <w:r>
        <w:t xml:space="preserve"> punktu:</w:t>
      </w:r>
    </w:p>
    <w:p w14:paraId="179053F2" w14:textId="77777777" w:rsidR="00EA3B3B" w:rsidRDefault="009C33D6">
      <w:pPr>
        <w:keepNext/>
        <w:ind w:firstLine="567"/>
        <w:jc w:val="both"/>
      </w:pPr>
      <w:r>
        <w:t>„</w:t>
      </w:r>
      <w:r>
        <w:t>76</w:t>
      </w:r>
      <w:r>
        <w:rPr>
          <w:vertAlign w:val="superscript"/>
        </w:rPr>
        <w:t>1</w:t>
      </w:r>
      <w:r>
        <w:t>. Registro tvarkytojas, gavęs šių Nuostatų 76 punkte nurodytus dokumentus, Registro tvarkymo taisyklių nustatyta tvarka kreipiasi į Valstybinę lietuvių kalbos komisiją konsultacijos dėl juridinio asmens pavadinimo atitikties lietuvių bendrinės kalbos normo</w:t>
      </w:r>
      <w:r>
        <w:t xml:space="preserve">ms. Valstybinei lietuvių kalbos komisijai per 6 darbo valandas pranešus Registro tvarkytojui, kad prašomas laikinai įtraukti į Registrą juridinio asmens pavadinimas neatitinka lietuvių bendrinės kalbos normų, Registro tvarkytojas priima sprendimą laikinai </w:t>
      </w:r>
      <w:r>
        <w:t>juridinio asmens pavadinimo į Registrą neįtraukti, išskyrus Lietuvos Respublikos civilinio kodekso 2.40 straipsnio 3 dalyje nustatytą atvejį, kai juridinis asmuo susijęs su užsienio juridiniu asmeniu ar kita organizacija.“</w:t>
      </w:r>
    </w:p>
    <w:p w14:paraId="179053F3" w14:textId="77777777" w:rsidR="00EA3B3B" w:rsidRDefault="009C33D6">
      <w:pPr>
        <w:ind w:firstLine="567"/>
        <w:jc w:val="both"/>
      </w:pPr>
      <w:r>
        <w:rPr>
          <w:iCs/>
        </w:rPr>
        <w:t>1.14</w:t>
      </w:r>
      <w:r>
        <w:rPr>
          <w:iCs/>
        </w:rPr>
        <w:t>. Išdėstyti 77 punktą</w:t>
      </w:r>
      <w:r>
        <w:rPr>
          <w:iCs/>
        </w:rPr>
        <w:t xml:space="preserve"> taip:</w:t>
      </w:r>
    </w:p>
    <w:p w14:paraId="179053F4" w14:textId="77777777" w:rsidR="00EA3B3B" w:rsidRDefault="009C33D6">
      <w:pPr>
        <w:ind w:firstLine="567"/>
        <w:jc w:val="both"/>
      </w:pPr>
      <w:r>
        <w:t>„</w:t>
      </w:r>
      <w:r>
        <w:t>77</w:t>
      </w:r>
      <w:r>
        <w:t xml:space="preserve">. Registro tvarkytojas, gavęs šių Nuostatų 76 punkte nurodytus dokumentus ar prašymą įregistruoti juridinį asmenį, filialą ar atstovybę, taip pat pakeistus steigimo dokumentus dėl juridinio asmens, filialo ar atstovybės pavadinimo pasikeitimo, </w:t>
      </w:r>
      <w:r>
        <w:t>kai pavadinimas anksčiau nebuvo laikinai įtrauktas į Registrą, ir per 6 darbo valandas negavęs Valstybinės lietuvių kalbos komisijos informacijos, kad prašomas laikinai įtraukti į Registrą juridinio asmens pavadinimas neatitinka lietuvių bendrinės kalbos n</w:t>
      </w:r>
      <w:r>
        <w:t>ormų, nustato, ar pavadinimas nėra tapatus kitiems juridinių asmenų, filialų ar atstovybių pavadinimams, taip pat laikinai įtrauktiems į Registrą pavadinimams ir prekių ženklams, įregistruotiems Prekių ženklų registre. Nustatant tapatumą, nevertinami teisi</w:t>
      </w:r>
      <w:r>
        <w:t>nę formą nusakantys žodžiai ar jų santrumpa.“</w:t>
      </w:r>
    </w:p>
    <w:p w14:paraId="179053F5" w14:textId="77777777" w:rsidR="00EA3B3B" w:rsidRDefault="009C33D6">
      <w:pPr>
        <w:ind w:firstLine="567"/>
        <w:jc w:val="both"/>
      </w:pPr>
      <w:r>
        <w:t>1.15</w:t>
      </w:r>
      <w:r>
        <w:t>. Papildyti 86.14 punktu:</w:t>
      </w:r>
    </w:p>
    <w:p w14:paraId="179053F6" w14:textId="77777777" w:rsidR="00EA3B3B" w:rsidRDefault="009C33D6">
      <w:pPr>
        <w:ind w:firstLine="567"/>
        <w:jc w:val="both"/>
      </w:pPr>
      <w:r>
        <w:t>„</w:t>
      </w:r>
      <w:r>
        <w:t>86.14</w:t>
      </w:r>
      <w:r>
        <w:t>. labdaros ir paramos fondai, valdantys neliečiamąjį kapitalą.“</w:t>
      </w:r>
    </w:p>
    <w:p w14:paraId="179053F7" w14:textId="77777777" w:rsidR="00EA3B3B" w:rsidRDefault="009C33D6">
      <w:pPr>
        <w:ind w:firstLine="567"/>
        <w:jc w:val="both"/>
      </w:pPr>
      <w:r>
        <w:rPr>
          <w:iCs/>
        </w:rPr>
        <w:t>1.16</w:t>
      </w:r>
      <w:r>
        <w:rPr>
          <w:iCs/>
        </w:rPr>
        <w:t>. Išdėstyti 91.1 punktą taip:</w:t>
      </w:r>
    </w:p>
    <w:p w14:paraId="179053F8" w14:textId="77777777" w:rsidR="00EA3B3B" w:rsidRDefault="009C33D6">
      <w:pPr>
        <w:ind w:firstLine="567"/>
        <w:jc w:val="both"/>
      </w:pPr>
      <w:r>
        <w:t>„</w:t>
      </w:r>
      <w:r>
        <w:t>91.1</w:t>
      </w:r>
      <w:r>
        <w:t xml:space="preserve">. akcinės bendrovės, uždarosios akcinės bendrovės, </w:t>
      </w:r>
      <w:r>
        <w:t>tikrosios ūkinės bendrijos ir komanditinės ūkinės bendrijos, kurios visi tikrieji nariai yra akcinės bendrovės ar uždarosios akcinės bendrovės, Europos bendrovės arba labdaros ir paramos fondo metinis pranešimas (konsoliduotas metinis pranešimas), jeigu ji</w:t>
      </w:r>
      <w:r>
        <w:t>s turi būti parengiamas pagal įstatymus;“.</w:t>
      </w:r>
    </w:p>
    <w:p w14:paraId="179053F9" w14:textId="77777777" w:rsidR="00EA3B3B" w:rsidRDefault="009C33D6">
      <w:pPr>
        <w:ind w:firstLine="567"/>
        <w:jc w:val="both"/>
      </w:pPr>
      <w:r>
        <w:t>1.17</w:t>
      </w:r>
      <w:r>
        <w:t>. Įrašyti 92 punkto pirmojoje pastraipoje po skaičiaus „18“ skaičių „24</w:t>
      </w:r>
      <w:r>
        <w:rPr>
          <w:vertAlign w:val="superscript"/>
        </w:rPr>
        <w:t>2</w:t>
      </w:r>
      <w:r>
        <w:t>.3“.</w:t>
      </w:r>
    </w:p>
    <w:p w14:paraId="179053FA" w14:textId="77777777" w:rsidR="00EA3B3B" w:rsidRDefault="009C33D6">
      <w:pPr>
        <w:ind w:firstLine="567"/>
        <w:jc w:val="both"/>
      </w:pPr>
      <w:r>
        <w:t>1.18</w:t>
      </w:r>
      <w:r>
        <w:t>. Papildyti 92.8</w:t>
      </w:r>
      <w:r>
        <w:rPr>
          <w:vertAlign w:val="superscript"/>
        </w:rPr>
        <w:t>1</w:t>
      </w:r>
      <w:r>
        <w:t xml:space="preserve"> punktu:</w:t>
      </w:r>
    </w:p>
    <w:p w14:paraId="179053FB" w14:textId="77777777" w:rsidR="00EA3B3B" w:rsidRDefault="009C33D6">
      <w:pPr>
        <w:ind w:firstLine="567"/>
        <w:jc w:val="both"/>
      </w:pPr>
      <w:r>
        <w:t>„</w:t>
      </w:r>
      <w:r>
        <w:t>92.8</w:t>
      </w:r>
      <w:r>
        <w:rPr>
          <w:vertAlign w:val="superscript"/>
        </w:rPr>
        <w:t>1</w:t>
      </w:r>
      <w:r>
        <w:t>. Teismas – ne vėliau kaip per 5 darbo dienas nuo teismo sprendimo nutraukti labda</w:t>
      </w:r>
      <w:r>
        <w:t>ros ir paramos fondo neliečiamojo kapitalo valdymą įsigaliojimo (įsiteisėjimo) dienos;“.</w:t>
      </w:r>
    </w:p>
    <w:p w14:paraId="179053FC" w14:textId="77777777" w:rsidR="00EA3B3B" w:rsidRDefault="009C33D6">
      <w:pPr>
        <w:ind w:firstLine="567"/>
        <w:jc w:val="both"/>
      </w:pPr>
      <w:r>
        <w:t>1.19</w:t>
      </w:r>
      <w:r>
        <w:t>. Išdėstyti 109 punkto pirmąją pastraipą taip:</w:t>
      </w:r>
    </w:p>
    <w:p w14:paraId="179053FD" w14:textId="77777777" w:rsidR="00EA3B3B" w:rsidRDefault="009C33D6">
      <w:pPr>
        <w:ind w:firstLine="567"/>
        <w:jc w:val="both"/>
      </w:pPr>
      <w:r>
        <w:t>„</w:t>
      </w:r>
      <w:r>
        <w:t>109</w:t>
      </w:r>
      <w:r>
        <w:t>. Įregistravęs juridinį asmenį, filialą ar atstovybę arba pakeistus duomenis, Registro tvarkytojas suf</w:t>
      </w:r>
      <w:r>
        <w:t>ormuoja ir pasirašo kvalifikuotu sertifikatu patvirtintu elektroniniu parašu elektroninį sertifikuotą registro išrašą. Šis išrašas saugomas Registre. Juridiniam asmeniui, filialui ar atstovybei suteikiama prieiga (prieigos raktas) prie elektroninio sertifi</w:t>
      </w:r>
      <w:r>
        <w:t>kuoto registro išrašo. Įregistravus juridinį asmenį, filialą ar atstovybę, elektroninis sertifikuotas registro išrašas išduodamas neatlygintinai. Juridinio asmens prašymu elektroninis sertifikuotas registro išrašas taip pat išduodamas neatlygintinai, kai į</w:t>
      </w:r>
      <w:r>
        <w:t xml:space="preserve">statymų nustatytais atvejais Registro tvarkytojui buvo pateiktas metinių finansinių ataskaitų rinkinys, taip pat metinių konsoliduotųjų finansinių ataskaitų rinkinys ar viešosios įstaigos veiklos ataskaita, o kiti Registre kaupiami duomenys, dokumentai ir </w:t>
      </w:r>
      <w:r>
        <w:t>informacija nepasikeitė. Elektroninio sertifikuoto registro išrašo išdavimo tvarką nustato Registro tvarkymo taisyklės.“</w:t>
      </w:r>
    </w:p>
    <w:p w14:paraId="179053FE" w14:textId="77777777" w:rsidR="00EA3B3B" w:rsidRDefault="009C33D6">
      <w:pPr>
        <w:ind w:firstLine="567"/>
        <w:jc w:val="both"/>
      </w:pPr>
      <w:r>
        <w:t>1.20</w:t>
      </w:r>
      <w:r>
        <w:t>. Papildyti 113</w:t>
      </w:r>
      <w:r>
        <w:rPr>
          <w:vertAlign w:val="superscript"/>
        </w:rPr>
        <w:t>3</w:t>
      </w:r>
      <w:r>
        <w:t xml:space="preserve"> punktu:</w:t>
      </w:r>
    </w:p>
    <w:p w14:paraId="179053FF" w14:textId="77777777" w:rsidR="00EA3B3B" w:rsidRDefault="009C33D6">
      <w:pPr>
        <w:ind w:firstLine="567"/>
        <w:jc w:val="both"/>
      </w:pPr>
      <w:r>
        <w:t>„</w:t>
      </w:r>
      <w:r>
        <w:t>113</w:t>
      </w:r>
      <w:r>
        <w:rPr>
          <w:vertAlign w:val="superscript"/>
        </w:rPr>
        <w:t>3</w:t>
      </w:r>
      <w:r>
        <w:t xml:space="preserve">. Jeigu pasikeičia labdaros ir paramos fondo duomenys ar informacija, susiję su </w:t>
      </w:r>
      <w:r>
        <w:t>neliečiamojo kapitalo valdymu, be dokumentų, nurodytų šių Nuostatų 113 punkte, atitinkamai pateikiami šie dokumentai:</w:t>
      </w:r>
    </w:p>
    <w:p w14:paraId="17905400" w14:textId="77777777" w:rsidR="00EA3B3B" w:rsidRDefault="009C33D6">
      <w:pPr>
        <w:ind w:firstLine="567"/>
        <w:jc w:val="both"/>
      </w:pPr>
      <w:r>
        <w:t>113</w:t>
      </w:r>
      <w:r>
        <w:rPr>
          <w:vertAlign w:val="superscript"/>
        </w:rPr>
        <w:t>3</w:t>
      </w:r>
      <w:r>
        <w:t>.1</w:t>
      </w:r>
      <w:r>
        <w:t>. visuotinio dalininkų susirinkimo sprendimas formuoti neliečiamąjį kapitalą iš lėšų;</w:t>
      </w:r>
    </w:p>
    <w:p w14:paraId="17905401" w14:textId="77777777" w:rsidR="00EA3B3B" w:rsidRDefault="009C33D6">
      <w:pPr>
        <w:ind w:firstLine="567"/>
        <w:jc w:val="both"/>
      </w:pPr>
      <w:r>
        <w:t>113</w:t>
      </w:r>
      <w:r>
        <w:rPr>
          <w:vertAlign w:val="superscript"/>
        </w:rPr>
        <w:t>3</w:t>
      </w:r>
      <w:r>
        <w:t>.2</w:t>
      </w:r>
      <w:r>
        <w:t>. visuotinio dalininkų susirinkimo</w:t>
      </w:r>
      <w:r>
        <w:t xml:space="preserve"> sprendimas pradėti neliečiamojo kapitalo valdymą ir dokumentas, patvirtinantis, kad yra suformuotas įstatymo nustatyto dydžio neliečiamasis kapitalas;</w:t>
      </w:r>
    </w:p>
    <w:p w14:paraId="17905402" w14:textId="77777777" w:rsidR="00EA3B3B" w:rsidRDefault="009C33D6">
      <w:pPr>
        <w:ind w:firstLine="567"/>
        <w:jc w:val="both"/>
      </w:pPr>
      <w:r>
        <w:t>113</w:t>
      </w:r>
      <w:r>
        <w:rPr>
          <w:vertAlign w:val="superscript"/>
        </w:rPr>
        <w:t>3</w:t>
      </w:r>
      <w:r>
        <w:t>.3</w:t>
      </w:r>
      <w:r>
        <w:t>. visuotinio dalininkų susirinkimo sprendimas nutraukti neliečiamojo kapitalo valdymą;</w:t>
      </w:r>
    </w:p>
    <w:p w14:paraId="17905403" w14:textId="77777777" w:rsidR="00EA3B3B" w:rsidRDefault="009C33D6">
      <w:pPr>
        <w:ind w:firstLine="567"/>
        <w:jc w:val="both"/>
      </w:pPr>
      <w:r>
        <w:t>113</w:t>
      </w:r>
      <w:r>
        <w:rPr>
          <w:vertAlign w:val="superscript"/>
        </w:rPr>
        <w:t>3</w:t>
      </w:r>
      <w:r>
        <w:t>.</w:t>
      </w:r>
      <w:r>
        <w:t>4</w:t>
      </w:r>
      <w:r>
        <w:t>. dokumentas, patvirtinantis, kad neliečiamasis kapitalas nebuvo suformuotas;</w:t>
      </w:r>
    </w:p>
    <w:p w14:paraId="17905404" w14:textId="77777777" w:rsidR="00EA3B3B" w:rsidRDefault="009C33D6">
      <w:pPr>
        <w:ind w:firstLine="567"/>
        <w:jc w:val="both"/>
      </w:pPr>
      <w:r>
        <w:t>113</w:t>
      </w:r>
      <w:r>
        <w:rPr>
          <w:vertAlign w:val="superscript"/>
        </w:rPr>
        <w:t>3</w:t>
      </w:r>
      <w:r>
        <w:t>.5</w:t>
      </w:r>
      <w:r>
        <w:t>. dokumentas, patvirtinantis, kad neliečiamasis kapitalas buvo suformuotas, bet nepradėtas valdyti.“</w:t>
      </w:r>
    </w:p>
    <w:p w14:paraId="17905405" w14:textId="77777777" w:rsidR="00EA3B3B" w:rsidRDefault="009C33D6">
      <w:pPr>
        <w:ind w:firstLine="567"/>
        <w:jc w:val="both"/>
      </w:pPr>
      <w:r>
        <w:t>1.21</w:t>
      </w:r>
      <w:r>
        <w:t>. Papildyti 164.16 punktu:</w:t>
      </w:r>
    </w:p>
    <w:p w14:paraId="17905406" w14:textId="77777777" w:rsidR="00EA3B3B" w:rsidRDefault="009C33D6">
      <w:pPr>
        <w:ind w:firstLine="567"/>
        <w:jc w:val="both"/>
      </w:pPr>
      <w:r>
        <w:t>„</w:t>
      </w:r>
      <w:r>
        <w:t>164.16</w:t>
      </w:r>
      <w:r>
        <w:t>. taisyklė, pa</w:t>
      </w:r>
      <w:r>
        <w:t>gal kurią asmenys veikia juridinio asmens vardu.“</w:t>
      </w:r>
    </w:p>
    <w:p w14:paraId="17905407" w14:textId="77777777" w:rsidR="00EA3B3B" w:rsidRDefault="009C33D6">
      <w:pPr>
        <w:ind w:firstLine="567"/>
        <w:jc w:val="both"/>
      </w:pPr>
      <w:r>
        <w:t>2</w:t>
      </w:r>
      <w:r>
        <w:t>. Pasiūlyti Valstybinei lietuvių kalbos komisijai bendradarbiaujant su valstybės įmone Registrų centru nustatyti atvejus, kai Registro tvarkytojas, elektroninėmis priemonėmis atlikęs išankstinę p</w:t>
      </w:r>
      <w:r>
        <w:t>rašomo laikinai įtraukti į Registrą juridinio asmens pavadinimo atitikties lietuvių bendrinės kalbos normoms patikrą, nesikreipia į Valstybinę lietuvių kalbos komisiją.</w:t>
      </w:r>
    </w:p>
    <w:p w14:paraId="17905408" w14:textId="77777777" w:rsidR="00EA3B3B" w:rsidRDefault="009C33D6">
      <w:pPr>
        <w:ind w:firstLine="567"/>
        <w:jc w:val="both"/>
      </w:pPr>
      <w:r>
        <w:t>3</w:t>
      </w:r>
      <w:r>
        <w:t>. Šio nutarimo nuostatos dėl labdaros ir paramos fondų steigimo dokumentų, sudaryt</w:t>
      </w:r>
      <w:r>
        <w:t>ų vadovaujantis pavyzdinėmis formomis, teikimo tiesiogiai Juridinių asmenų registro tvarkytojui taikomos tik Juridinių asmenų registro tvarkytojui įdiegus informacinių priemonių, sudarysiančių galimybę labdaros ir paramos fondo steigimo dokumentus teikti e</w:t>
      </w:r>
      <w:r>
        <w:t>lektroniniu būdu, pakeitimus.</w:t>
      </w:r>
    </w:p>
    <w:p w14:paraId="17905409" w14:textId="77777777" w:rsidR="00EA3B3B" w:rsidRDefault="009C33D6">
      <w:pPr>
        <w:ind w:firstLine="567"/>
        <w:jc w:val="both"/>
      </w:pPr>
      <w:r>
        <w:t>4</w:t>
      </w:r>
      <w:r>
        <w:t>. Šio nutarimo nuostatos dėl labdaros ir paramos fondų, valdančių neliečiamąjį kapitalą, duomenų, dokumentų ar informacijos registravimo ar įrašymo į Juridinių asmenų registrą taikomos nuo 2013 m. sausio 1 dienos.</w:t>
      </w:r>
    </w:p>
    <w:p w14:paraId="1790540A" w14:textId="77777777" w:rsidR="00EA3B3B" w:rsidRDefault="009C33D6">
      <w:pPr>
        <w:ind w:firstLine="567"/>
        <w:jc w:val="both"/>
      </w:pPr>
      <w:r>
        <w:t>5</w:t>
      </w:r>
      <w:r>
        <w:t xml:space="preserve">. </w:t>
      </w:r>
      <w:r>
        <w:t>Šio nutarimo nuostatos, susijusios su labdaros ir paramos fondų, valdančių neliečiamąjį kapitalą, metinių finansinių ataskaitų rinkiniais, taikomos teikiant Juridinių asmenų registro tvarkytojui 2013 m. sausio 1 d. ir vėliau prasidedančių ataskaitinių laik</w:t>
      </w:r>
      <w:r>
        <w:t>otarpių labdaros ir paramos fondų, valdančių neliečiamąjį kapitalą, metinių finansinių ataskaitų rinkinius.</w:t>
      </w:r>
    </w:p>
    <w:p w14:paraId="1790540B" w14:textId="77777777" w:rsidR="00EA3B3B" w:rsidRDefault="009C33D6">
      <w:pPr>
        <w:ind w:firstLine="567"/>
        <w:jc w:val="both"/>
      </w:pPr>
      <w:r>
        <w:t>6</w:t>
      </w:r>
      <w:r>
        <w:t>. Šio nutarimo 1.12, 1.13 ir 1.14 punktai įsigalioja 2013 m. gegužės 1 dieną.</w:t>
      </w:r>
    </w:p>
    <w:p w14:paraId="1790540C" w14:textId="77777777" w:rsidR="00EA3B3B" w:rsidRDefault="009C33D6">
      <w:pPr>
        <w:ind w:firstLine="567"/>
        <w:jc w:val="both"/>
      </w:pPr>
      <w:r>
        <w:t>7</w:t>
      </w:r>
      <w:r>
        <w:t>. Šio nutarimo 1.21 punktas įsigalioja 2013 m. birželio 1 di</w:t>
      </w:r>
      <w:r>
        <w:t>eną.</w:t>
      </w:r>
    </w:p>
    <w:p w14:paraId="1790540D" w14:textId="77777777" w:rsidR="00EA3B3B" w:rsidRDefault="00EA3B3B">
      <w:pPr>
        <w:ind w:firstLine="567"/>
        <w:jc w:val="both"/>
        <w:rPr>
          <w:color w:val="000000"/>
        </w:rPr>
      </w:pPr>
    </w:p>
    <w:p w14:paraId="23FBE806" w14:textId="77777777" w:rsidR="009C33D6" w:rsidRDefault="009C33D6">
      <w:pPr>
        <w:ind w:firstLine="567"/>
        <w:jc w:val="both"/>
        <w:rPr>
          <w:color w:val="000000"/>
        </w:rPr>
      </w:pPr>
    </w:p>
    <w:p w14:paraId="1790540E" w14:textId="77777777" w:rsidR="00EA3B3B" w:rsidRDefault="009C33D6">
      <w:pPr>
        <w:ind w:firstLine="567"/>
        <w:jc w:val="both"/>
        <w:rPr>
          <w:color w:val="000000"/>
        </w:rPr>
      </w:pPr>
    </w:p>
    <w:p w14:paraId="1790540F" w14:textId="00909FE1" w:rsidR="00EA3B3B" w:rsidRDefault="009C33D6">
      <w:r>
        <w:t>LAIKINAI EINANTIS MINISTRO PIRMININKO</w:t>
      </w:r>
    </w:p>
    <w:p w14:paraId="17905410" w14:textId="77777777" w:rsidR="00EA3B3B" w:rsidRDefault="009C33D6">
      <w:pPr>
        <w:tabs>
          <w:tab w:val="right" w:pos="9071"/>
        </w:tabs>
      </w:pPr>
      <w:r>
        <w:t>PAREIGAS</w:t>
      </w:r>
      <w:r>
        <w:tab/>
        <w:t>ANDRIUS KUBILIUS</w:t>
      </w:r>
    </w:p>
    <w:p w14:paraId="17905411" w14:textId="77777777" w:rsidR="00EA3B3B" w:rsidRDefault="00EA3B3B"/>
    <w:p w14:paraId="120100D4" w14:textId="77777777" w:rsidR="009C33D6" w:rsidRDefault="009C33D6"/>
    <w:p w14:paraId="4B8985E7" w14:textId="77777777" w:rsidR="009C33D6" w:rsidRDefault="009C33D6">
      <w:bookmarkStart w:id="0" w:name="_GoBack"/>
      <w:bookmarkEnd w:id="0"/>
    </w:p>
    <w:p w14:paraId="17905412" w14:textId="77777777" w:rsidR="00EA3B3B" w:rsidRDefault="009C33D6">
      <w:r>
        <w:t>LAIKINAI EINANTIS TEISINGUMO MINISTRO</w:t>
      </w:r>
    </w:p>
    <w:p w14:paraId="17905413" w14:textId="77777777" w:rsidR="00EA3B3B" w:rsidRDefault="009C33D6">
      <w:pPr>
        <w:tabs>
          <w:tab w:val="right" w:pos="9071"/>
        </w:tabs>
      </w:pPr>
      <w:r>
        <w:t>PAREIGAS</w:t>
      </w:r>
      <w:r>
        <w:tab/>
        <w:t>REMIGIJUS ŠIMAŠIUS</w:t>
      </w:r>
    </w:p>
    <w:p w14:paraId="17905414" w14:textId="458AC8F2" w:rsidR="00EA3B3B" w:rsidRDefault="00EA3B3B"/>
    <w:p w14:paraId="17905416" w14:textId="236EB736" w:rsidR="00EA3B3B" w:rsidRDefault="009C33D6">
      <w:pPr>
        <w:jc w:val="center"/>
        <w:rPr>
          <w:color w:val="000000"/>
        </w:rPr>
      </w:pPr>
    </w:p>
    <w:sectPr w:rsidR="00EA3B3B">
      <w:headerReference w:type="even" r:id="rId19"/>
      <w:headerReference w:type="default" r:id="rId20"/>
      <w:footerReference w:type="even" r:id="rId21"/>
      <w:footerReference w:type="default" r:id="rId22"/>
      <w:headerReference w:type="first" r:id="rId23"/>
      <w:footerReference w:type="first" r:id="rId24"/>
      <w:pgSz w:w="11906" w:h="16838" w:code="9"/>
      <w:pgMar w:top="1134" w:right="1134" w:bottom="1701"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0541A" w14:textId="77777777" w:rsidR="00EA3B3B" w:rsidRDefault="009C33D6">
      <w:r>
        <w:separator/>
      </w:r>
    </w:p>
  </w:endnote>
  <w:endnote w:type="continuationSeparator" w:id="0">
    <w:p w14:paraId="1790541B" w14:textId="77777777" w:rsidR="00EA3B3B" w:rsidRDefault="009C3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0541F" w14:textId="77777777" w:rsidR="00EA3B3B" w:rsidRDefault="00EA3B3B">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05420" w14:textId="77777777" w:rsidR="00EA3B3B" w:rsidRDefault="00EA3B3B">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05422" w14:textId="77777777" w:rsidR="00EA3B3B" w:rsidRDefault="00EA3B3B">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05418" w14:textId="77777777" w:rsidR="00EA3B3B" w:rsidRDefault="009C33D6">
      <w:r>
        <w:separator/>
      </w:r>
    </w:p>
  </w:footnote>
  <w:footnote w:type="continuationSeparator" w:id="0">
    <w:p w14:paraId="17905419" w14:textId="77777777" w:rsidR="00EA3B3B" w:rsidRDefault="009C3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0541C" w14:textId="77777777" w:rsidR="00EA3B3B" w:rsidRDefault="009C33D6">
    <w:pPr>
      <w:framePr w:wrap="auto" w:vAnchor="text" w:hAnchor="margin" w:xAlign="center" w:y="1"/>
      <w:tabs>
        <w:tab w:val="center" w:pos="4153"/>
        <w:tab w:val="right" w:pos="8306"/>
      </w:tabs>
    </w:pPr>
    <w:r>
      <w:fldChar w:fldCharType="begin"/>
    </w:r>
    <w:r>
      <w:instrText xml:space="preserve">PAGE  </w:instrText>
    </w:r>
    <w:r>
      <w:fldChar w:fldCharType="end"/>
    </w:r>
  </w:p>
  <w:p w14:paraId="1790541D" w14:textId="77777777" w:rsidR="00EA3B3B" w:rsidRDefault="00EA3B3B">
    <w:pP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0541E" w14:textId="77777777" w:rsidR="00EA3B3B" w:rsidRDefault="00EA3B3B">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05421" w14:textId="77777777" w:rsidR="00EA3B3B" w:rsidRDefault="00EA3B3B">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9C33D6"/>
    <w:rsid w:val="00EA3B3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790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C33D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C3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9E302593CE80"/>
  <Relationship Id="rId11" Type="http://schemas.openxmlformats.org/officeDocument/2006/relationships/hyperlink" TargetMode="External" Target="https://www.e-tar.lt/portal/lt/legalAct/TAR.3E1EB6BE4016"/>
  <Relationship Id="rId12" Type="http://schemas.openxmlformats.org/officeDocument/2006/relationships/hyperlink" TargetMode="External" Target="https://www.e-tar.lt/portal/lt/legalAct/TAR.68B0F3B2AE92"/>
  <Relationship Id="rId13" Type="http://schemas.openxmlformats.org/officeDocument/2006/relationships/hyperlink" TargetMode="External" Target="https://www.e-tar.lt/portal/lt/legalAct/TAR.EC371F243E07"/>
  <Relationship Id="rId14" Type="http://schemas.openxmlformats.org/officeDocument/2006/relationships/hyperlink" TargetMode="External" Target="https://www.e-tar.lt/portal/lt/legalAct/TAR.054358E99714"/>
  <Relationship Id="rId15" Type="http://schemas.openxmlformats.org/officeDocument/2006/relationships/hyperlink" TargetMode="External" Target="https://www.e-tar.lt/portal/lt/legalAct/TAR.046B8E6F2031"/>
  <Relationship Id="rId16" Type="http://schemas.openxmlformats.org/officeDocument/2006/relationships/hyperlink" TargetMode="External" Target="https://www.e-tar.lt/portal/lt/legalAct/TAR.08D593FE5D2C"/>
  <Relationship Id="rId17" Type="http://schemas.openxmlformats.org/officeDocument/2006/relationships/hyperlink" TargetMode="External" Target="https://www.e-tar.lt/portal/lt/legalAct/TAR.8E28F3BD948B"/>
  <Relationship Id="rId18" Type="http://schemas.openxmlformats.org/officeDocument/2006/relationships/hyperlink" TargetMode="External" Target="https://www.e-tar.lt/portal/lt/legalAct/TAR.551DA668522F"/>
  <Relationship Id="rId19" Type="http://schemas.openxmlformats.org/officeDocument/2006/relationships/header" Target="header1.xml"/>
  <Relationship Id="rId2" Type="http://schemas.openxmlformats.org/officeDocument/2006/relationships/styles" Target="styles.xml"/>
  <Relationship Id="rId20" Type="http://schemas.openxmlformats.org/officeDocument/2006/relationships/header" Target="header2.xml"/>
  <Relationship Id="rId21" Type="http://schemas.openxmlformats.org/officeDocument/2006/relationships/footer" Target="footer1.xml"/>
  <Relationship Id="rId22" Type="http://schemas.openxmlformats.org/officeDocument/2006/relationships/footer" Target="footer2.xml"/>
  <Relationship Id="rId23" Type="http://schemas.openxmlformats.org/officeDocument/2006/relationships/header" Target="header3.xml"/>
  <Relationship Id="rId24" Type="http://schemas.openxmlformats.org/officeDocument/2006/relationships/footer" Target="footer3.xml"/>
  <Relationship Id="rId25" Type="http://schemas.openxmlformats.org/officeDocument/2006/relationships/fontTable" Target="fontTable.xml"/>
  <Relationship Id="rId26" Type="http://schemas.openxmlformats.org/officeDocument/2006/relationships/glossaryDocument" Target="glossary/document.xml"/>
  <Relationship Id="rId27"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B40"/>
    <w:rsid w:val="002A1B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A1B4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A1B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7356</Words>
  <Characters>4194</Characters>
  <Application>Microsoft Office Word</Application>
  <DocSecurity>0</DocSecurity>
  <Lines>34</Lines>
  <Paragraphs>23</Paragraphs>
  <ScaleCrop>false</ScaleCrop>
  <Company>LRVK</Company>
  <LinksUpToDate>false</LinksUpToDate>
  <CharactersWithSpaces>11527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2015-09-09T19:28:00Z</dcterms:created>
  <dc:creator>lrvk</dc:creator>
  <lastModifiedBy>BODIN Aušra</lastModifiedBy>
  <lastPrinted>2012-12-06T08:11:00Z</lastPrinted>
  <dcterms:modified xsi:type="dcterms:W3CDTF">2017-10-19T11:56:00Z</dcterms:modified>
  <revision>3</revision>
  <dc:title>DĖL LIETUVOS RESPUBLIKOS VYRIAUSYBĖS 2003 M</dc:title>
</coreProperties>
</file>