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06612" w14:textId="77777777" w:rsidR="00F779C3" w:rsidRPr="007B6F68" w:rsidRDefault="007B6F68">
      <w:pPr>
        <w:keepLines/>
        <w:widowControl w:val="0"/>
        <w:suppressAutoHyphens/>
        <w:jc w:val="center"/>
        <w:rPr>
          <w:b/>
          <w:color w:val="000000"/>
        </w:rPr>
      </w:pPr>
      <w:r w:rsidRPr="007B6F68">
        <w:rPr>
          <w:b/>
          <w:color w:val="000000"/>
        </w:rPr>
        <w:pict w14:anchorId="0B20663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7B6F68">
        <w:rPr>
          <w:b/>
          <w:color w:val="000000"/>
        </w:rPr>
        <w:t>VALSTYBINĖS MOKESČIŲ INSPEKCIJOS PRIE LIETUVOS RESPUBLIKOS FINANSŲ MINISTERIJOS VIRŠININKO</w:t>
      </w:r>
    </w:p>
    <w:p w14:paraId="5A4621C4" w14:textId="77777777" w:rsidR="007B6F68" w:rsidRPr="007B6F68" w:rsidRDefault="007B6F68">
      <w:pPr>
        <w:keepLines/>
        <w:widowControl w:val="0"/>
        <w:suppressAutoHyphens/>
        <w:jc w:val="center"/>
        <w:rPr>
          <w:b/>
          <w:color w:val="000000"/>
        </w:rPr>
      </w:pPr>
    </w:p>
    <w:p w14:paraId="0B206614" w14:textId="32365A81" w:rsidR="00F779C3" w:rsidRPr="007B6F68" w:rsidRDefault="007B6F68" w:rsidP="007B6F68">
      <w:pPr>
        <w:keepLines/>
        <w:widowControl w:val="0"/>
        <w:suppressAutoHyphens/>
        <w:jc w:val="center"/>
        <w:rPr>
          <w:b/>
          <w:color w:val="000000"/>
        </w:rPr>
      </w:pPr>
      <w:r w:rsidRPr="007B6F68">
        <w:rPr>
          <w:b/>
          <w:color w:val="000000"/>
        </w:rPr>
        <w:t>Į S A K Y M A S</w:t>
      </w:r>
    </w:p>
    <w:p w14:paraId="0B206615" w14:textId="77777777" w:rsidR="00F779C3" w:rsidRDefault="007B6F68">
      <w:pPr>
        <w:keepLines/>
        <w:widowControl w:val="0"/>
        <w:suppressAutoHyphens/>
        <w:jc w:val="center"/>
        <w:rPr>
          <w:b/>
          <w:bCs/>
          <w:caps/>
          <w:color w:val="000000"/>
        </w:rPr>
      </w:pPr>
      <w:r>
        <w:rPr>
          <w:b/>
          <w:bCs/>
          <w:caps/>
          <w:color w:val="000000"/>
        </w:rPr>
        <w:t>DĖL VALSTYBINĖS MOKESČIŲ INSPEKCIJOS PRIE LIETUVOS RESPUBLIKOS FINANSŲ MINISTERIJOS VIRŠININKO 2003 M. RUGSĖJO 18</w:t>
      </w:r>
      <w:r>
        <w:rPr>
          <w:b/>
          <w:bCs/>
          <w:caps/>
          <w:color w:val="000000"/>
        </w:rPr>
        <w:t xml:space="preserve"> D. ĮSAKYMO Nr. V-255 „DĖL KASOS APARATŲ NAUDOJIMO TAISYKLIŲ PATVIRTINIMO“ PAKEITIMO</w:t>
      </w:r>
    </w:p>
    <w:p w14:paraId="0B206616" w14:textId="77777777" w:rsidR="00F779C3" w:rsidRDefault="00F779C3">
      <w:pPr>
        <w:widowControl w:val="0"/>
        <w:suppressAutoHyphens/>
        <w:jc w:val="center"/>
        <w:rPr>
          <w:color w:val="000000"/>
        </w:rPr>
      </w:pPr>
    </w:p>
    <w:p w14:paraId="0B206617" w14:textId="77777777" w:rsidR="00F779C3" w:rsidRDefault="007B6F68">
      <w:pPr>
        <w:keepLines/>
        <w:widowControl w:val="0"/>
        <w:suppressAutoHyphens/>
        <w:jc w:val="center"/>
        <w:rPr>
          <w:b/>
          <w:bCs/>
          <w:color w:val="000000"/>
        </w:rPr>
      </w:pPr>
      <w:r>
        <w:rPr>
          <w:color w:val="000000"/>
        </w:rPr>
        <w:t>2012 m. spalio 24 d. Nr. VA-96</w:t>
      </w:r>
    </w:p>
    <w:p w14:paraId="0B206618" w14:textId="77777777" w:rsidR="00F779C3" w:rsidRDefault="007B6F68">
      <w:pPr>
        <w:keepLines/>
        <w:widowControl w:val="0"/>
        <w:suppressAutoHyphens/>
        <w:jc w:val="center"/>
        <w:rPr>
          <w:b/>
          <w:bCs/>
          <w:color w:val="000000"/>
        </w:rPr>
      </w:pPr>
      <w:r>
        <w:rPr>
          <w:color w:val="000000"/>
        </w:rPr>
        <w:t>Vilnius</w:t>
      </w:r>
    </w:p>
    <w:p w14:paraId="0B206619" w14:textId="77777777" w:rsidR="00F779C3" w:rsidRDefault="00F779C3">
      <w:pPr>
        <w:widowControl w:val="0"/>
        <w:suppressAutoHyphens/>
        <w:ind w:firstLine="567"/>
        <w:jc w:val="both"/>
        <w:rPr>
          <w:color w:val="000000"/>
        </w:rPr>
      </w:pPr>
    </w:p>
    <w:p w14:paraId="6A3AE3C6" w14:textId="77777777" w:rsidR="007B6F68" w:rsidRDefault="007B6F68">
      <w:pPr>
        <w:widowControl w:val="0"/>
        <w:suppressAutoHyphens/>
        <w:ind w:firstLine="567"/>
        <w:jc w:val="both"/>
        <w:rPr>
          <w:color w:val="000000"/>
        </w:rPr>
      </w:pPr>
    </w:p>
    <w:p w14:paraId="0B20661A" w14:textId="77777777" w:rsidR="00F779C3" w:rsidRDefault="007B6F68">
      <w:pPr>
        <w:widowControl w:val="0"/>
        <w:suppressAutoHyphens/>
        <w:ind w:firstLine="567"/>
        <w:jc w:val="both"/>
        <w:rPr>
          <w:color w:val="000000"/>
        </w:rPr>
      </w:pPr>
      <w:r>
        <w:rPr>
          <w:color w:val="000000"/>
        </w:rPr>
        <w:t>P a k e i č i u Kasos aparatų naudojimo taisykles, patvirtintas Valstybinės mokesčių inspekcijos prie Lietuvos Respublikos finansų</w:t>
      </w:r>
      <w:r>
        <w:rPr>
          <w:color w:val="000000"/>
        </w:rPr>
        <w:t xml:space="preserve"> ministerijos viršininko 2003 m. rugsėjo 18 d. įsakymu Nr. V-255 „Dėl Kasos aparatų naudojimo taisyklių patvirtinimo“ (Žin., 2003, Nr. </w:t>
      </w:r>
      <w:hyperlink r:id="rId10" w:tgtFrame="_blank" w:history="1">
        <w:r>
          <w:rPr>
            <w:color w:val="0000FF" w:themeColor="hyperlink"/>
            <w:u w:val="single"/>
          </w:rPr>
          <w:t>90-4096</w:t>
        </w:r>
      </w:hyperlink>
      <w:r>
        <w:rPr>
          <w:color w:val="000000"/>
        </w:rPr>
        <w:t xml:space="preserve">; 2011, Nr. </w:t>
      </w:r>
      <w:hyperlink r:id="rId11" w:tgtFrame="_blank" w:history="1">
        <w:r>
          <w:rPr>
            <w:color w:val="0000FF" w:themeColor="hyperlink"/>
            <w:u w:val="single"/>
          </w:rPr>
          <w:t>25-1243</w:t>
        </w:r>
      </w:hyperlink>
      <w:r>
        <w:rPr>
          <w:color w:val="000000"/>
        </w:rPr>
        <w:t>):</w:t>
      </w:r>
    </w:p>
    <w:p w14:paraId="0B20661B" w14:textId="77777777" w:rsidR="00F779C3" w:rsidRDefault="007B6F68">
      <w:pPr>
        <w:widowControl w:val="0"/>
        <w:suppressAutoHyphens/>
        <w:ind w:firstLine="567"/>
        <w:jc w:val="both"/>
        <w:rPr>
          <w:color w:val="000000"/>
          <w:spacing w:val="-4"/>
        </w:rPr>
      </w:pPr>
      <w:r>
        <w:rPr>
          <w:color w:val="000000"/>
          <w:spacing w:val="-4"/>
        </w:rPr>
        <w:t>1</w:t>
      </w:r>
      <w:r>
        <w:rPr>
          <w:color w:val="000000"/>
          <w:spacing w:val="-4"/>
        </w:rPr>
        <w:t>. Išdėstau 14 punktą taip:</w:t>
      </w:r>
    </w:p>
    <w:p w14:paraId="0B20661C" w14:textId="77777777" w:rsidR="00F779C3" w:rsidRDefault="007B6F68">
      <w:pPr>
        <w:widowControl w:val="0"/>
        <w:suppressAutoHyphens/>
        <w:ind w:firstLine="567"/>
        <w:jc w:val="both"/>
        <w:rPr>
          <w:strike/>
          <w:color w:val="000000"/>
        </w:rPr>
      </w:pPr>
      <w:r>
        <w:rPr>
          <w:color w:val="000000"/>
          <w:spacing w:val="-4"/>
        </w:rPr>
        <w:t>„</w:t>
      </w:r>
      <w:r>
        <w:rPr>
          <w:color w:val="000000"/>
          <w:spacing w:val="-4"/>
        </w:rPr>
        <w:t>14</w:t>
      </w:r>
      <w:r>
        <w:rPr>
          <w:color w:val="000000"/>
          <w:spacing w:val="-4"/>
        </w:rPr>
        <w:t>. Registruojant kasos aparatą TVMI, turi būti pateikiamas tinkamai užpildytas registruojamo kasos aparato techninis pasas. Dėl kasos aparato įregistravim</w:t>
      </w:r>
      <w:r>
        <w:rPr>
          <w:color w:val="000000"/>
          <w:spacing w:val="-4"/>
        </w:rPr>
        <w:t>o ar perregistravimo galima kreiptis į bet kurią TVMI Taisyklių 15 punkte nurodytais adresais.“</w:t>
      </w:r>
    </w:p>
    <w:p w14:paraId="0B20661D" w14:textId="77777777" w:rsidR="00F779C3" w:rsidRDefault="007B6F68">
      <w:pPr>
        <w:widowControl w:val="0"/>
        <w:suppressAutoHyphens/>
        <w:ind w:firstLine="567"/>
        <w:jc w:val="both"/>
        <w:rPr>
          <w:color w:val="000000"/>
        </w:rPr>
      </w:pPr>
      <w:r>
        <w:rPr>
          <w:color w:val="000000"/>
        </w:rPr>
        <w:t>2</w:t>
      </w:r>
      <w:r>
        <w:rPr>
          <w:color w:val="000000"/>
        </w:rPr>
        <w:t>. Išdėstau 16 punktą taip:</w:t>
      </w:r>
    </w:p>
    <w:p w14:paraId="0B20661E" w14:textId="77777777" w:rsidR="00F779C3" w:rsidRDefault="007B6F68">
      <w:pPr>
        <w:widowControl w:val="0"/>
        <w:suppressAutoHyphens/>
        <w:ind w:firstLine="567"/>
        <w:jc w:val="both"/>
        <w:rPr>
          <w:color w:val="000000"/>
        </w:rPr>
      </w:pPr>
      <w:r>
        <w:rPr>
          <w:color w:val="000000"/>
        </w:rPr>
        <w:t>„</w:t>
      </w:r>
      <w:r>
        <w:rPr>
          <w:color w:val="000000"/>
        </w:rPr>
        <w:t>16</w:t>
      </w:r>
      <w:r>
        <w:rPr>
          <w:color w:val="000000"/>
        </w:rPr>
        <w:t>. Jei pasikeičia kasos aparato naudotojas, kasos aparato įrengimo adresas, kasos aparato naudotojo rekvizitai, kasos ap</w:t>
      </w:r>
      <w:r>
        <w:rPr>
          <w:color w:val="000000"/>
        </w:rPr>
        <w:t>arato paskirtis, kasos aparato techninis pasas turi būti perregistruotas TVMI, išskyrus Tvarkos apraše nustatytus atvejus, kai perregistruoti kasos aparato nebūtina.</w:t>
      </w:r>
    </w:p>
    <w:p w14:paraId="0B20661F" w14:textId="77777777" w:rsidR="00F779C3" w:rsidRDefault="007B6F68">
      <w:pPr>
        <w:widowControl w:val="0"/>
        <w:suppressAutoHyphens/>
        <w:ind w:firstLine="567"/>
        <w:jc w:val="both"/>
        <w:rPr>
          <w:color w:val="000000"/>
        </w:rPr>
      </w:pPr>
      <w:r>
        <w:rPr>
          <w:color w:val="000000"/>
        </w:rPr>
        <w:t>Pasikeitus kasos aparato naudotojo pavadinimui aptarnaujančios įmonės specialistas turi pa</w:t>
      </w:r>
      <w:r>
        <w:rPr>
          <w:color w:val="000000"/>
        </w:rPr>
        <w:t>keitimą įrašyti techniniame pase. Tokiu atveju techninio paso perregistruoti nebūtina.“</w:t>
      </w:r>
    </w:p>
    <w:p w14:paraId="0B206620" w14:textId="77777777" w:rsidR="00F779C3" w:rsidRDefault="007B6F68">
      <w:pPr>
        <w:widowControl w:val="0"/>
        <w:suppressAutoHyphens/>
        <w:ind w:firstLine="567"/>
        <w:jc w:val="both"/>
        <w:rPr>
          <w:color w:val="000000"/>
        </w:rPr>
      </w:pPr>
      <w:r>
        <w:rPr>
          <w:color w:val="000000"/>
        </w:rPr>
        <w:t>3</w:t>
      </w:r>
      <w:r>
        <w:rPr>
          <w:color w:val="000000"/>
        </w:rPr>
        <w:t>. Papildau nauju 40.4 punktu:</w:t>
      </w:r>
    </w:p>
    <w:p w14:paraId="0B206621" w14:textId="77777777" w:rsidR="00F779C3" w:rsidRDefault="007B6F68">
      <w:pPr>
        <w:widowControl w:val="0"/>
        <w:suppressAutoHyphens/>
        <w:ind w:firstLine="567"/>
        <w:jc w:val="both"/>
        <w:rPr>
          <w:color w:val="000000"/>
        </w:rPr>
      </w:pPr>
      <w:r>
        <w:rPr>
          <w:color w:val="000000"/>
        </w:rPr>
        <w:t>„</w:t>
      </w:r>
      <w:r>
        <w:rPr>
          <w:color w:val="000000"/>
        </w:rPr>
        <w:t>40.4</w:t>
      </w:r>
      <w:r>
        <w:rPr>
          <w:color w:val="000000"/>
        </w:rPr>
        <w:t xml:space="preserve">. Atsiskaitant vaistinėse ir jų filialuose (toliau – vaistinė), kai naudojami kasos aparatai išduodant (parduodant) </w:t>
      </w:r>
      <w:r>
        <w:rPr>
          <w:color w:val="000000"/>
        </w:rPr>
        <w:t>apdraustiesiems vaistus ir medicinos pagalbos priemones, kurių įsigijimo išlaidos arba jų dalis kompensuojama iš Privalomojo sveikatos draudimo fondo biudžeto lėšų (toliau – kompensuojamieji vaistai ir MPP), pagal 3 formos receptų blankus ir 3 formos recep</w:t>
      </w:r>
      <w:r>
        <w:rPr>
          <w:color w:val="000000"/>
        </w:rPr>
        <w:t>tus išimties atvejams (toliau – 3 formos receptas ir 3 formos receptas išimties atvejams), vadovaujantis Receptų rašymo ir vaistų bei kompensuojamųjų medicinos pagalbos priemonių išdavimo (pardavimo) gyventojams taisyklėmis, patvirtintomis Lietuvos Respubl</w:t>
      </w:r>
      <w:r>
        <w:rPr>
          <w:color w:val="000000"/>
        </w:rPr>
        <w:t>ikos sveikatos apsaugos ministro</w:t>
      </w:r>
      <w:r>
        <w:rPr>
          <w:b/>
          <w:bCs/>
          <w:color w:val="000000"/>
        </w:rPr>
        <w:t xml:space="preserve"> </w:t>
      </w:r>
      <w:r>
        <w:rPr>
          <w:color w:val="000000"/>
        </w:rPr>
        <w:t xml:space="preserve">2002 m. kovo 8 d. įsakymu Nr. 112 (Žin., 2002, Nr. </w:t>
      </w:r>
      <w:hyperlink r:id="rId12" w:tgtFrame="_blank" w:history="1">
        <w:r>
          <w:rPr>
            <w:color w:val="0000FF" w:themeColor="hyperlink"/>
            <w:u w:val="single"/>
          </w:rPr>
          <w:t>28-1013</w:t>
        </w:r>
      </w:hyperlink>
      <w:r>
        <w:rPr>
          <w:color w:val="000000"/>
        </w:rPr>
        <w:t xml:space="preserve">; 2011, Nr. </w:t>
      </w:r>
      <w:hyperlink r:id="rId13" w:tgtFrame="_blank" w:history="1">
        <w:r>
          <w:rPr>
            <w:color w:val="0000FF" w:themeColor="hyperlink"/>
            <w:u w:val="single"/>
          </w:rPr>
          <w:t>129-6122</w:t>
        </w:r>
      </w:hyperlink>
      <w:r>
        <w:rPr>
          <w:color w:val="000000"/>
        </w:rPr>
        <w:t>):</w:t>
      </w:r>
    </w:p>
    <w:p w14:paraId="0B206622" w14:textId="77777777" w:rsidR="00F779C3" w:rsidRDefault="007B6F68">
      <w:pPr>
        <w:widowControl w:val="0"/>
        <w:suppressAutoHyphens/>
        <w:ind w:firstLine="567"/>
        <w:jc w:val="both"/>
        <w:rPr>
          <w:color w:val="000000"/>
          <w:spacing w:val="-4"/>
        </w:rPr>
      </w:pPr>
      <w:r>
        <w:rPr>
          <w:color w:val="000000"/>
          <w:spacing w:val="-4"/>
        </w:rPr>
        <w:t>40.4.1</w:t>
      </w:r>
      <w:r>
        <w:rPr>
          <w:color w:val="000000"/>
          <w:spacing w:val="-4"/>
        </w:rPr>
        <w:t>. išduodant (parduodant) kompensuojamuosius vaistus ir MPP, kasos aparatu turi būti atskirai registruojama už kiekvieną kompensuojamąjį vaistą ir MPP suteikiama kompensacija iš Privalomojo sveikatos draudimo fondo biudžeto lėšų (tol</w:t>
      </w:r>
      <w:r>
        <w:rPr>
          <w:color w:val="000000"/>
          <w:spacing w:val="-4"/>
        </w:rPr>
        <w:t>iau – kompensacija). Visos vienam pirkėjui už visuose jo pateiktuose 3 formos receptuose ir 3 formos receptuose išimties atvejams nurodytus kompensuojamuosius vaistus ir MPP suteikiamos kompensacijos registruojamos viename kasos aparato kvite.</w:t>
      </w:r>
    </w:p>
    <w:p w14:paraId="0B206623" w14:textId="77777777" w:rsidR="00F779C3" w:rsidRDefault="007B6F68">
      <w:pPr>
        <w:widowControl w:val="0"/>
        <w:suppressAutoHyphens/>
        <w:ind w:firstLine="567"/>
        <w:jc w:val="both"/>
        <w:rPr>
          <w:color w:val="000000"/>
        </w:rPr>
      </w:pPr>
      <w:r>
        <w:rPr>
          <w:color w:val="000000"/>
        </w:rPr>
        <w:t>Jeigu pirkėj</w:t>
      </w:r>
      <w:r>
        <w:rPr>
          <w:color w:val="000000"/>
        </w:rPr>
        <w:t>as grynaisiais pinigais sumoka kompensuojamųjų vaistų ir MPP nekompensuojamą jų kainos dalį arba kartu su kompensuojamaisiais vaistais ir MPP už grynuosius pinigus perka ir nekompensuojamųjų vaistų bei vaistinių prekių, visi sumokėti grynieji pinigai regis</w:t>
      </w:r>
      <w:r>
        <w:rPr>
          <w:color w:val="000000"/>
        </w:rPr>
        <w:t>truojami antrame kasos aparato kvite. Šiuo atveju kasos aparato kvite pirmiausia registruojamos už kompensuojamuosius vaistus ir MPP sumokėtos nekompensuojamos jų kainų dalys, po to – nekompensuojamųjų vaistų bei vaistinių prekių kainos;</w:t>
      </w:r>
    </w:p>
    <w:p w14:paraId="0B206624" w14:textId="77777777" w:rsidR="00F779C3" w:rsidRDefault="007B6F68">
      <w:pPr>
        <w:widowControl w:val="0"/>
        <w:suppressAutoHyphens/>
        <w:ind w:firstLine="567"/>
        <w:jc w:val="both"/>
        <w:rPr>
          <w:color w:val="000000"/>
        </w:rPr>
      </w:pPr>
      <w:r>
        <w:rPr>
          <w:color w:val="000000"/>
        </w:rPr>
        <w:t>40.4.2</w:t>
      </w:r>
      <w:r>
        <w:rPr>
          <w:color w:val="000000"/>
        </w:rPr>
        <w:t>. kompen</w:t>
      </w:r>
      <w:r>
        <w:rPr>
          <w:color w:val="000000"/>
        </w:rPr>
        <w:t>sacija registruojama kasos aparatu pagal kasos aparato gamintojo nustatytą procedūrą, skirtą kompensuojamiems vaistams ir MPP pardavimams registruoti (toliau – specialus kasos aparatas).</w:t>
      </w:r>
    </w:p>
    <w:p w14:paraId="0B206625" w14:textId="77777777" w:rsidR="00F779C3" w:rsidRDefault="007B6F68">
      <w:pPr>
        <w:widowControl w:val="0"/>
        <w:suppressAutoHyphens/>
        <w:ind w:firstLine="567"/>
        <w:jc w:val="both"/>
        <w:rPr>
          <w:color w:val="000000"/>
        </w:rPr>
      </w:pPr>
      <w:r>
        <w:rPr>
          <w:color w:val="000000"/>
        </w:rPr>
        <w:lastRenderedPageBreak/>
        <w:t xml:space="preserve">Jeigu naudojamas nespecialus kasos aparatas, kompensuojama vaisto ir </w:t>
      </w:r>
      <w:r>
        <w:rPr>
          <w:color w:val="000000"/>
        </w:rPr>
        <w:t>MPP kainos dalis turi būti registruojama naudojant atsiskaitymo negrynaisiais pinigais funkciją (klavišą). Kai vaistinėje naudojamuose kasos aparatuose numatyti keli atsiskaitymo negrynaisiais pinigais būdai (kreditan, čekiais ir panašiai), vaistinės veikl</w:t>
      </w:r>
      <w:r>
        <w:rPr>
          <w:color w:val="000000"/>
        </w:rPr>
        <w:t>os licencijos turėtojo ar jo įgalioto asmens rašytiniu įsakymu turi būti nustatyta, kuris iš būdų turi būti naudojamas kompensacijoms registruoti. Šis įsakymas turi būti saugomas kasininko darbo vietoje kartu su techniniu pasu bei Kasos aparato kasos opera</w:t>
      </w:r>
      <w:r>
        <w:rPr>
          <w:color w:val="000000"/>
        </w:rPr>
        <w:t>cijų žurnalu;</w:t>
      </w:r>
    </w:p>
    <w:p w14:paraId="0B206626" w14:textId="77777777" w:rsidR="00F779C3" w:rsidRDefault="007B6F68">
      <w:pPr>
        <w:widowControl w:val="0"/>
        <w:suppressAutoHyphens/>
        <w:ind w:firstLine="567"/>
        <w:jc w:val="both"/>
        <w:rPr>
          <w:color w:val="000000"/>
          <w:spacing w:val="-2"/>
        </w:rPr>
      </w:pPr>
      <w:r>
        <w:rPr>
          <w:color w:val="000000"/>
          <w:spacing w:val="-2"/>
        </w:rPr>
        <w:t>40.4.3</w:t>
      </w:r>
      <w:r>
        <w:rPr>
          <w:color w:val="000000"/>
          <w:spacing w:val="-2"/>
        </w:rPr>
        <w:t>. kiekviename 3 formos recepte ir 3 formos recepte išimties atvejams, pagal kurį išduotas (parduotas) kompensuojamasis vaistas ir MPP, turi būti pažymėtas unikalus kasos aparato numeris ir kasos aparato kvito eilės numeris. Šie duom</w:t>
      </w:r>
      <w:r>
        <w:rPr>
          <w:color w:val="000000"/>
          <w:spacing w:val="-2"/>
        </w:rPr>
        <w:t>enys gali būti žymimi kitoje 3 formos recepto ir 3 formos recepto išimties atvejams pusėje kartu su duomenimis, kurių Lietuvos Respublikos sveikatos apsaugos ministro nustatyta tvarka reikalaujama įforminant kompensuojamojo vaisto ir MPP išdavimą;</w:t>
      </w:r>
    </w:p>
    <w:p w14:paraId="0B206627" w14:textId="77777777" w:rsidR="00F779C3" w:rsidRDefault="007B6F68">
      <w:pPr>
        <w:widowControl w:val="0"/>
        <w:suppressAutoHyphens/>
        <w:ind w:firstLine="567"/>
        <w:jc w:val="both"/>
        <w:rPr>
          <w:color w:val="000000"/>
        </w:rPr>
      </w:pPr>
      <w:r>
        <w:rPr>
          <w:color w:val="000000"/>
        </w:rPr>
        <w:t>40.4.4</w:t>
      </w:r>
      <w:r>
        <w:rPr>
          <w:color w:val="000000"/>
        </w:rPr>
        <w:t>. Kasos aparato kasos operacijų žurnale turi būti pildoma papildoma grafa „Ligonių kasų kompensacijos“, į kurią iš dienos ataskaitos („Z“) įrašoma bendra kompensacijos suma;</w:t>
      </w:r>
    </w:p>
    <w:p w14:paraId="0B206628" w14:textId="77777777" w:rsidR="00F779C3" w:rsidRDefault="007B6F68">
      <w:pPr>
        <w:widowControl w:val="0"/>
        <w:suppressAutoHyphens/>
        <w:ind w:firstLine="567"/>
        <w:jc w:val="both"/>
        <w:rPr>
          <w:color w:val="000000"/>
        </w:rPr>
      </w:pPr>
      <w:r>
        <w:rPr>
          <w:color w:val="000000"/>
        </w:rPr>
        <w:t>40.4.5</w:t>
      </w:r>
      <w:r>
        <w:rPr>
          <w:color w:val="000000"/>
        </w:rPr>
        <w:t>. kompensuojamuosius vaistus ir MPP išduodančių (parduodančių) vaistin</w:t>
      </w:r>
      <w:r>
        <w:rPr>
          <w:color w:val="000000"/>
        </w:rPr>
        <w:t>ių veiklos licencijų turėtojai ar jų įgalioti asmenys privalo pateikti teritorinių ligonių kasų ekspertams, atliekantiems vaistinės patikrinimą, kasos aparato kontrolinę juostą bei Kasos aparato kasos operacijų žurnalą.“</w:t>
      </w:r>
    </w:p>
    <w:p w14:paraId="0B206629" w14:textId="77777777" w:rsidR="00F779C3" w:rsidRDefault="007B6F68">
      <w:pPr>
        <w:widowControl w:val="0"/>
        <w:suppressAutoHyphens/>
        <w:ind w:firstLine="567"/>
        <w:jc w:val="both"/>
        <w:rPr>
          <w:color w:val="000000"/>
        </w:rPr>
      </w:pPr>
      <w:r>
        <w:rPr>
          <w:color w:val="000000"/>
        </w:rPr>
        <w:t>4</w:t>
      </w:r>
      <w:r>
        <w:rPr>
          <w:color w:val="000000"/>
        </w:rPr>
        <w:t>. Išdėstau 41 punktą tai</w:t>
      </w:r>
      <w:r>
        <w:rPr>
          <w:color w:val="000000"/>
        </w:rPr>
        <w:t>p:</w:t>
      </w:r>
    </w:p>
    <w:p w14:paraId="0B20662C" w14:textId="2E4AC9A7" w:rsidR="00F779C3" w:rsidRPr="007B6F68" w:rsidRDefault="007B6F68" w:rsidP="007B6F68">
      <w:pPr>
        <w:widowControl w:val="0"/>
        <w:suppressAutoHyphens/>
        <w:ind w:firstLine="567"/>
        <w:jc w:val="both"/>
        <w:rPr>
          <w:color w:val="000000"/>
          <w:spacing w:val="-1"/>
        </w:rPr>
      </w:pPr>
      <w:r>
        <w:rPr>
          <w:color w:val="000000"/>
        </w:rPr>
        <w:t>„</w:t>
      </w:r>
      <w:r>
        <w:rPr>
          <w:color w:val="000000"/>
        </w:rPr>
        <w:t>41</w:t>
      </w:r>
      <w:r>
        <w:rPr>
          <w:color w:val="000000"/>
        </w:rPr>
        <w:t xml:space="preserve">. </w:t>
      </w:r>
      <w:r>
        <w:rPr>
          <w:color w:val="000000"/>
          <w:spacing w:val="-1"/>
        </w:rPr>
        <w:t xml:space="preserve">Individualia veikla besiverčiantis gyventojas gali naudoti tik TVMI jo vardu įregistruotą kasos aparatą, išskyrus Taisyklių 47 ir 48 punktuose nustatytus atvejus. Kai kasos aparatą naudoja gyventojai, veikiantys jungtinės veiklos (partnerystės) </w:t>
      </w:r>
      <w:r>
        <w:rPr>
          <w:color w:val="000000"/>
          <w:spacing w:val="-1"/>
        </w:rPr>
        <w:t xml:space="preserve">sutarties pagrindu, kasos aparatas registruojamas vieno iš partnerių vardu, įregistruotą kasos aparatą prekybos veikloje gali naudoti visi partneriai. Gyventojas dėl kasos aparato įregistravimo TVMI turi kreiptis į tą aptarnaujančią įmonę, kuriai išduotas </w:t>
      </w:r>
      <w:r>
        <w:rPr>
          <w:color w:val="000000"/>
          <w:spacing w:val="-1"/>
        </w:rPr>
        <w:t>sertifikatas, leidžiantis atlikti registruojamo kasos aparato modelio techninės priežiūros ir remonto darbus.“</w:t>
      </w:r>
    </w:p>
    <w:p w14:paraId="7D590A8B" w14:textId="08D2F992" w:rsidR="007B6F68" w:rsidRDefault="007B6F68">
      <w:pPr>
        <w:widowControl w:val="0"/>
        <w:tabs>
          <w:tab w:val="right" w:pos="9071"/>
        </w:tabs>
        <w:suppressAutoHyphens/>
      </w:pPr>
    </w:p>
    <w:p w14:paraId="193482C7" w14:textId="77777777" w:rsidR="007B6F68" w:rsidRDefault="007B6F68">
      <w:pPr>
        <w:widowControl w:val="0"/>
        <w:tabs>
          <w:tab w:val="right" w:pos="9071"/>
        </w:tabs>
        <w:suppressAutoHyphens/>
      </w:pPr>
    </w:p>
    <w:p w14:paraId="0E89C64A" w14:textId="77777777" w:rsidR="007B6F68" w:rsidRDefault="007B6F68">
      <w:pPr>
        <w:widowControl w:val="0"/>
        <w:tabs>
          <w:tab w:val="right" w:pos="9071"/>
        </w:tabs>
        <w:suppressAutoHyphens/>
      </w:pPr>
    </w:p>
    <w:p w14:paraId="0B20662D" w14:textId="5BF676B2" w:rsidR="00F779C3" w:rsidRDefault="007B6F68">
      <w:pPr>
        <w:widowControl w:val="0"/>
        <w:tabs>
          <w:tab w:val="right" w:pos="9071"/>
        </w:tabs>
        <w:suppressAutoHyphens/>
        <w:rPr>
          <w:caps/>
          <w:color w:val="000000"/>
        </w:rPr>
      </w:pPr>
      <w:r>
        <w:rPr>
          <w:caps/>
          <w:color w:val="000000"/>
        </w:rPr>
        <w:t xml:space="preserve">Viršininkas </w:t>
      </w:r>
      <w:r>
        <w:rPr>
          <w:caps/>
          <w:color w:val="000000"/>
        </w:rPr>
        <w:tab/>
        <w:t>Modestas Kaseliauskas</w:t>
      </w:r>
    </w:p>
    <w:p w14:paraId="0B20662E" w14:textId="77777777" w:rsidR="00F779C3" w:rsidRDefault="00F779C3">
      <w:pPr>
        <w:widowControl w:val="0"/>
        <w:suppressAutoHyphens/>
        <w:ind w:firstLine="567"/>
        <w:jc w:val="both"/>
        <w:rPr>
          <w:color w:val="000000"/>
        </w:rPr>
      </w:pPr>
    </w:p>
    <w:p w14:paraId="0B20662F" w14:textId="77777777" w:rsidR="00F779C3" w:rsidRDefault="007B6F68">
      <w:pPr>
        <w:widowControl w:val="0"/>
        <w:suppressAutoHyphens/>
        <w:jc w:val="both"/>
        <w:rPr>
          <w:color w:val="000000"/>
        </w:rPr>
      </w:pPr>
      <w:r>
        <w:rPr>
          <w:color w:val="000000"/>
        </w:rPr>
        <w:t>SUDERINTA</w:t>
      </w:r>
    </w:p>
    <w:p w14:paraId="0B206630" w14:textId="77777777" w:rsidR="00F779C3" w:rsidRDefault="007B6F68">
      <w:pPr>
        <w:widowControl w:val="0"/>
        <w:suppressAutoHyphens/>
        <w:jc w:val="both"/>
        <w:rPr>
          <w:color w:val="000000"/>
        </w:rPr>
      </w:pPr>
      <w:r>
        <w:rPr>
          <w:color w:val="000000"/>
        </w:rPr>
        <w:t>Lietuvos Respublikos finansų ministerijos</w:t>
      </w:r>
    </w:p>
    <w:p w14:paraId="0B206633" w14:textId="2A133258" w:rsidR="00F779C3" w:rsidRDefault="007B6F68" w:rsidP="007B6F68">
      <w:pPr>
        <w:widowControl w:val="0"/>
        <w:suppressAutoHyphens/>
        <w:jc w:val="both"/>
        <w:rPr>
          <w:b/>
          <w:bCs/>
          <w:color w:val="000000"/>
        </w:rPr>
      </w:pPr>
      <w:r>
        <w:rPr>
          <w:color w:val="000000"/>
        </w:rPr>
        <w:t xml:space="preserve">2012 m. rugsėjo 24 d. raštas Nr. </w:t>
      </w:r>
      <w:r>
        <w:rPr>
          <w:color w:val="000000"/>
        </w:rPr>
        <w:t>(14.18-03)-5K-6K-1207943</w:t>
      </w:r>
    </w:p>
    <w:bookmarkStart w:id="0" w:name="_GoBack" w:displacedByCustomXml="next"/>
    <w:bookmarkEnd w:id="0" w:displacedByCustomXml="next"/>
    <w:sectPr w:rsidR="00F779C3">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6637" w14:textId="77777777" w:rsidR="00F779C3" w:rsidRDefault="007B6F68">
      <w:r>
        <w:separator/>
      </w:r>
    </w:p>
  </w:endnote>
  <w:endnote w:type="continuationSeparator" w:id="0">
    <w:p w14:paraId="0B206638" w14:textId="77777777" w:rsidR="00F779C3" w:rsidRDefault="007B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B" w14:textId="77777777" w:rsidR="00F779C3" w:rsidRDefault="00F779C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C" w14:textId="77777777" w:rsidR="00F779C3" w:rsidRDefault="00F779C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E" w14:textId="77777777" w:rsidR="00F779C3" w:rsidRDefault="00F779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6635" w14:textId="77777777" w:rsidR="00F779C3" w:rsidRDefault="007B6F68">
      <w:r>
        <w:separator/>
      </w:r>
    </w:p>
  </w:footnote>
  <w:footnote w:type="continuationSeparator" w:id="0">
    <w:p w14:paraId="0B206636" w14:textId="77777777" w:rsidR="00F779C3" w:rsidRDefault="007B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9" w14:textId="77777777" w:rsidR="00F779C3" w:rsidRDefault="00F779C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A" w14:textId="77777777" w:rsidR="00F779C3" w:rsidRDefault="00F779C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63D" w14:textId="77777777" w:rsidR="00F779C3" w:rsidRDefault="00F779C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BB"/>
    <w:rsid w:val="007B6F68"/>
    <w:rsid w:val="009C3DBB"/>
    <w:rsid w:val="00F779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2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F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CCBA203C552"/>
  <Relationship Id="rId11" Type="http://schemas.openxmlformats.org/officeDocument/2006/relationships/hyperlink" TargetMode="External" Target="https://www.e-tar.lt/portal/lt/legalAct/TAR.F97B9B40908B"/>
  <Relationship Id="rId12" Type="http://schemas.openxmlformats.org/officeDocument/2006/relationships/hyperlink" TargetMode="External" Target="https://www.e-tar.lt/portal/lt/legalAct/TAR.8268A928D936"/>
  <Relationship Id="rId13" Type="http://schemas.openxmlformats.org/officeDocument/2006/relationships/hyperlink" TargetMode="External" Target="https://www.e-tar.lt/portal/lt/legalAct/TAR.EECCB017F87E"/>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42"/>
    <w:rsid w:val="00F81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12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12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3896</Words>
  <Characters>2222</Characters>
  <Application>Microsoft Office Word</Application>
  <DocSecurity>0</DocSecurity>
  <Lines>18</Lines>
  <Paragraphs>12</Paragraphs>
  <ScaleCrop>false</ScaleCrop>
  <Company>Teisines informacijos centras</Company>
  <LinksUpToDate>false</LinksUpToDate>
  <CharactersWithSpaces>6106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2015-09-14T03:02:00Z</dcterms:created>
  <dc:creator>Kamilija</dc:creator>
  <lastModifiedBy>GRUNDAITĖ Aistė</lastModifiedBy>
  <dcterms:modified xsi:type="dcterms:W3CDTF">2016-04-29T10:07:00Z</dcterms:modified>
  <revision>3</revision>
  <dc:title>VALSTYBINĖS MOKESČIŲ INSPEKCIJOS PRIE LIETUVOS RESPUBLIKOS FINANSŲ MINISTERIJOS VIRŠININKO</dc:title>
</coreProperties>
</file>