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E4F7" w14:textId="77777777" w:rsidR="00F33B80" w:rsidRDefault="00F33B80">
      <w:pPr>
        <w:tabs>
          <w:tab w:val="center" w:pos="4153"/>
          <w:tab w:val="right" w:pos="8306"/>
        </w:tabs>
        <w:rPr>
          <w:lang w:val="en-GB"/>
        </w:rPr>
      </w:pPr>
    </w:p>
    <w:p w14:paraId="1C83E4F8" w14:textId="77777777" w:rsidR="00F33B80" w:rsidRDefault="004B08D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C83E7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VALSTYBINĖS KAINŲ IR ENERGETIKOS KONTROLĖS KOMISIJOS</w:t>
      </w:r>
    </w:p>
    <w:p w14:paraId="1C83E4F9" w14:textId="77777777" w:rsidR="00F33B80" w:rsidRDefault="00F33B80">
      <w:pPr>
        <w:jc w:val="center"/>
        <w:rPr>
          <w:color w:val="000000"/>
        </w:rPr>
      </w:pPr>
    </w:p>
    <w:p w14:paraId="1C83E4FA" w14:textId="77777777" w:rsidR="00F33B80" w:rsidRDefault="004B08D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1C83E4FB" w14:textId="77777777" w:rsidR="00F33B80" w:rsidRDefault="004B08D7">
      <w:pPr>
        <w:jc w:val="center"/>
        <w:rPr>
          <w:b/>
          <w:color w:val="000000"/>
        </w:rPr>
      </w:pPr>
      <w:r>
        <w:rPr>
          <w:b/>
          <w:color w:val="000000"/>
        </w:rPr>
        <w:t>DĖL ĮMONĖS TECHNOLOGINIO, FINANSINIO IR VADYBINIO PAJĖGUMO ĮVERTINIMO TVARKOS PATVIRTINIMO</w:t>
      </w:r>
    </w:p>
    <w:p w14:paraId="1C83E4FC" w14:textId="77777777" w:rsidR="00F33B80" w:rsidRDefault="00F33B80">
      <w:pPr>
        <w:jc w:val="center"/>
        <w:rPr>
          <w:color w:val="000000"/>
        </w:rPr>
      </w:pPr>
    </w:p>
    <w:p w14:paraId="1C83E4FD" w14:textId="77777777" w:rsidR="00F33B80" w:rsidRDefault="004B08D7">
      <w:pPr>
        <w:jc w:val="center"/>
        <w:rPr>
          <w:color w:val="000000"/>
        </w:rPr>
      </w:pPr>
      <w:r>
        <w:rPr>
          <w:color w:val="000000"/>
        </w:rPr>
        <w:t>2003 m. gruodžio 1 d. Nr. O3-99</w:t>
      </w:r>
    </w:p>
    <w:p w14:paraId="1C83E4FE" w14:textId="77777777" w:rsidR="00F33B80" w:rsidRDefault="004B08D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C83E4FF" w14:textId="77777777" w:rsidR="00F33B80" w:rsidRDefault="00F33B80">
      <w:pPr>
        <w:ind w:firstLine="709"/>
        <w:jc w:val="both"/>
        <w:rPr>
          <w:color w:val="000000"/>
        </w:rPr>
      </w:pPr>
    </w:p>
    <w:p w14:paraId="1C83E502" w14:textId="5F8B75A9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Valstybinė kainų</w:t>
      </w:r>
      <w:r>
        <w:rPr>
          <w:color w:val="000000"/>
        </w:rPr>
        <w:t xml:space="preserve"> ir energetikos kontrolės komisija </w:t>
      </w:r>
      <w:r>
        <w:rPr>
          <w:color w:val="000000"/>
          <w:spacing w:val="60"/>
        </w:rPr>
        <w:t>nutaria</w:t>
      </w:r>
      <w:r>
        <w:rPr>
          <w:color w:val="000000"/>
        </w:rPr>
        <w:t xml:space="preserve"> patvirtinti Įmonės technologinio, finansinio ir vadybinio pajėgumo įvertinimo tvarką (pridedama).</w:t>
      </w:r>
    </w:p>
    <w:p w14:paraId="042DC923" w14:textId="77777777" w:rsidR="004B08D7" w:rsidRDefault="004B08D7">
      <w:pPr>
        <w:tabs>
          <w:tab w:val="right" w:pos="9639"/>
        </w:tabs>
      </w:pPr>
    </w:p>
    <w:p w14:paraId="26D724BC" w14:textId="77777777" w:rsidR="004B08D7" w:rsidRDefault="004B08D7">
      <w:pPr>
        <w:tabs>
          <w:tab w:val="right" w:pos="9639"/>
        </w:tabs>
      </w:pPr>
    </w:p>
    <w:p w14:paraId="1C83E503" w14:textId="6B89F70A" w:rsidR="00F33B80" w:rsidRDefault="004B08D7">
      <w:pPr>
        <w:tabs>
          <w:tab w:val="right" w:pos="9639"/>
        </w:tabs>
        <w:rPr>
          <w:caps/>
        </w:rPr>
      </w:pPr>
      <w:r>
        <w:rPr>
          <w:caps/>
        </w:rPr>
        <w:t>KOMISIJOS NARYS,</w:t>
      </w:r>
    </w:p>
    <w:p w14:paraId="1C83E505" w14:textId="251EE026" w:rsidR="00F33B80" w:rsidRDefault="004B08D7" w:rsidP="004B08D7">
      <w:pPr>
        <w:tabs>
          <w:tab w:val="right" w:pos="9639"/>
        </w:tabs>
        <w:rPr>
          <w:color w:val="000000"/>
          <w:szCs w:val="12"/>
        </w:rPr>
      </w:pPr>
      <w:r>
        <w:rPr>
          <w:caps/>
        </w:rPr>
        <w:t>L. E. PIRMININKO PAREIGAS</w:t>
      </w:r>
      <w:r>
        <w:rPr>
          <w:caps/>
        </w:rPr>
        <w:tab/>
        <w:t>RIMANTAS LUKOŠEVIČIUS</w:t>
      </w:r>
    </w:p>
    <w:p w14:paraId="1C83E506" w14:textId="5E38659C" w:rsidR="00F33B80" w:rsidRDefault="004B08D7" w:rsidP="004B08D7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1C83E507" w14:textId="77777777" w:rsidR="00F33B80" w:rsidRDefault="004B08D7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Valstybinės ka</w:t>
      </w:r>
      <w:r>
        <w:rPr>
          <w:color w:val="000000"/>
        </w:rPr>
        <w:t>inų ir energetikos</w:t>
      </w:r>
    </w:p>
    <w:p w14:paraId="1C83E508" w14:textId="77777777" w:rsidR="00F33B80" w:rsidRDefault="004B08D7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kontrolės komisijos 2003 m. gruodžio 1 d.</w:t>
      </w:r>
    </w:p>
    <w:p w14:paraId="1C83E509" w14:textId="77777777" w:rsidR="00F33B80" w:rsidRDefault="004B08D7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nutarimu Nr. O3-99</w:t>
      </w:r>
    </w:p>
    <w:p w14:paraId="1C83E50A" w14:textId="77777777" w:rsidR="00F33B80" w:rsidRDefault="00F33B80">
      <w:pPr>
        <w:ind w:firstLine="709"/>
        <w:jc w:val="both"/>
        <w:rPr>
          <w:color w:val="000000"/>
        </w:rPr>
      </w:pPr>
    </w:p>
    <w:p w14:paraId="1C83E50B" w14:textId="77777777" w:rsidR="00F33B80" w:rsidRDefault="004B08D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ĮMONĖS TECHNOLOGINIO, FINANSINIO IR VADYBINIO PAJĖGUMO ĮVERTINIMO TVARKA</w:t>
      </w:r>
    </w:p>
    <w:p w14:paraId="1C83E50C" w14:textId="77777777" w:rsidR="00F33B80" w:rsidRDefault="00F33B80">
      <w:pPr>
        <w:jc w:val="center"/>
        <w:rPr>
          <w:b/>
          <w:bCs/>
          <w:caps/>
          <w:color w:val="000000"/>
        </w:rPr>
      </w:pPr>
    </w:p>
    <w:p w14:paraId="1C83E50D" w14:textId="77777777" w:rsidR="00F33B80" w:rsidRDefault="004B08D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1C83E50E" w14:textId="77777777" w:rsidR="00F33B80" w:rsidRDefault="00F33B80">
      <w:pPr>
        <w:ind w:firstLine="709"/>
        <w:jc w:val="both"/>
        <w:rPr>
          <w:color w:val="000000"/>
        </w:rPr>
      </w:pPr>
    </w:p>
    <w:p w14:paraId="1C83E50F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Ši tvarka (toliau – Tvarka) taikoma įmonių, Valstybinei kainų ir </w:t>
      </w:r>
      <w:r>
        <w:rPr>
          <w:color w:val="000000"/>
        </w:rPr>
        <w:t>energetikos kontrolės komisijai (toliau – Komisija) pateikusių prašymus išduoti licencijas perduoti, paskirstyti, laikyti ir tiekti gamtines dujas, elektros energijos perdavimo, skirstymo, visuomeninio ir nepriklausomo tiekėjo bei šilumos tiekimo licencija</w:t>
      </w:r>
      <w:r>
        <w:rPr>
          <w:color w:val="000000"/>
        </w:rPr>
        <w:t>s, taip pat įmonių, kurioms yra išduotos licencijos perduoti, paskirstyti, laikyti ir tiekti gamtines dujas, elektros energijos perdavimo, skirstymo, visuomeninio ir nepriklausomo tiekėjo bei šilumos tiekimo licencijos (toliau – įmonės), technologinio, fin</w:t>
      </w:r>
      <w:r>
        <w:rPr>
          <w:color w:val="000000"/>
        </w:rPr>
        <w:t>ansinio ir vadybinio pajėgumo, leidžiančio vykdyti licencijuojamą veiklą, įvertinimui.</w:t>
      </w:r>
    </w:p>
    <w:p w14:paraId="1C83E510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Įmonių technologinis, finansinis ir vadybinis pajėgumas įvertinamas pagal nustatyta tvarka Komisijai pateiktus dokumentus ir duomenis.</w:t>
      </w:r>
    </w:p>
    <w:p w14:paraId="1C83E511" w14:textId="77777777" w:rsidR="00F33B80" w:rsidRDefault="004B08D7">
      <w:pPr>
        <w:ind w:firstLine="709"/>
        <w:jc w:val="both"/>
        <w:rPr>
          <w:color w:val="000000"/>
        </w:rPr>
      </w:pPr>
    </w:p>
    <w:p w14:paraId="1C83E512" w14:textId="77777777" w:rsidR="00F33B80" w:rsidRDefault="004B08D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Technologinio pa</w:t>
      </w:r>
      <w:r>
        <w:rPr>
          <w:b/>
          <w:bCs/>
          <w:caps/>
          <w:color w:val="000000"/>
        </w:rPr>
        <w:t>jėgumo įvertinimas</w:t>
      </w:r>
    </w:p>
    <w:p w14:paraId="1C83E513" w14:textId="77777777" w:rsidR="00F33B80" w:rsidRDefault="00F33B80">
      <w:pPr>
        <w:ind w:firstLine="709"/>
        <w:jc w:val="both"/>
        <w:rPr>
          <w:color w:val="000000"/>
        </w:rPr>
      </w:pPr>
    </w:p>
    <w:p w14:paraId="1C83E514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Įmonė (tik gamtinių dujų perdavimo, paskirstymo ir laikymo, elektros energijos perdavimo ir skirstymo bei šilumos tiekimo įmonė) privalo nuosavybės teise valdyti arba teisėtai naudoti energetikos įrenginius ir sistemas (toliau – </w:t>
      </w:r>
      <w:r>
        <w:rPr>
          <w:color w:val="000000"/>
        </w:rPr>
        <w:t>įrenginiai) licencijuojamai veiklai vykdyti.</w:t>
      </w:r>
    </w:p>
    <w:p w14:paraId="1C83E515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Įmonė (tik gamtinių dujų perdavimo, paskirstymo ir laikymo, elektros energijos perdavimo ir skirstymo bei šilumos tiekimo įmonė) privalo turėti Valstybinės energetikos inspekcijos prie Ūkio ministerijos i</w:t>
      </w:r>
      <w:r>
        <w:rPr>
          <w:color w:val="000000"/>
        </w:rPr>
        <w:t>šduotą leidimą (atestatą) verstis energetikos įrenginių eksploatavimu ir priežiūra.</w:t>
      </w:r>
    </w:p>
    <w:p w14:paraId="1C83E516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Jei įmonė įrenginių neeksploatuoja ir neprižiūri, ji privalo sudaryti ilgalaikę sutartį dėl minėtų įrenginių eksploatavimo ir priežiūros su įmone, turinčia leidimą (atestat</w:t>
      </w:r>
      <w:r>
        <w:rPr>
          <w:color w:val="000000"/>
        </w:rPr>
        <w:t>ą) verstis šia veikla.</w:t>
      </w:r>
    </w:p>
    <w:p w14:paraId="1C83E517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Įmonės technologinio pajėgumo įvertinimo lentelėje (1 lentelė) nurodomi įrenginiai, jų valdymo forma (turimi nuosavybės teise ar naudojami kitais teisėtais būdais (nurodomas būdas), eksploatavimą ir priežiūrą vykdanti įmonė (s</w:t>
      </w:r>
      <w:r>
        <w:rPr>
          <w:color w:val="000000"/>
        </w:rPr>
        <w:t>kyrius, padalinys), buvimo vieta ir numatoma licencijuojamos veiklos teritorija:</w:t>
      </w:r>
    </w:p>
    <w:p w14:paraId="1C83E518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Įrenginių valdymo forma nurodoma vadovaujantis Valstybės įmonės Registrų centro išduotu nuosavybės teisę pagrindžiančiu pažymėjimu ar pažyma, sutartimi dėl įrenginių te</w:t>
      </w:r>
      <w:r>
        <w:rPr>
          <w:color w:val="000000"/>
        </w:rPr>
        <w:t>isėto naudojimo ar kt. dokumentais, įrodančiais įrenginių teisėtą valdymą ar naudojimą.</w:t>
      </w:r>
    </w:p>
    <w:p w14:paraId="1C83E519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Įrenginių eksploatavimą ir priežiūrą vykdanti įmonė nurodoma vadovaujantis Valstybinės energetikos inspekcijos prie Ūkio ministerijos išduotu leidimu (atestatu</w:t>
      </w:r>
      <w:r>
        <w:rPr>
          <w:color w:val="000000"/>
        </w:rPr>
        <w:t>) verstis energetikos įrenginių eksploatavimu ir priežiūra arba ilgalaike sutartimi dėl įrenginių eksploatavimo ir priežiūros su įmone, turinčia leidimą (atestatą) verstis šia veikla.</w:t>
      </w:r>
    </w:p>
    <w:p w14:paraId="1C83E51A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Įrenginių buvimo vieta nurodoma vadovaujantis žemėlapiu ir/ar k</w:t>
      </w:r>
      <w:r>
        <w:rPr>
          <w:color w:val="000000"/>
        </w:rPr>
        <w:t>itais dokumentais. Nurodoma savivaldybė ir gyvenamoji vietovė (miestas, miestelis, kaimas), kurioje yra įrenginiai.</w:t>
      </w:r>
    </w:p>
    <w:p w14:paraId="1C83E51B" w14:textId="3E4B24F1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. Licencijuojamos veiklos teritorija nurodoma vadovaujantis įmonės prašyme išduoti licenciją nurodyta numatoma licencijuojamos veiklo</w:t>
      </w:r>
      <w:r>
        <w:rPr>
          <w:color w:val="000000"/>
        </w:rPr>
        <w:t>s teritorija ir atsižvelgiant į įrenginių buvimo vietą.</w:t>
      </w:r>
    </w:p>
    <w:p w14:paraId="1C83E51C" w14:textId="1060F7E7" w:rsidR="00F33B80" w:rsidRDefault="00F33B80">
      <w:pPr>
        <w:ind w:firstLine="709"/>
        <w:jc w:val="both"/>
        <w:rPr>
          <w:color w:val="000000"/>
        </w:rPr>
      </w:pPr>
    </w:p>
    <w:p w14:paraId="1C83E51D" w14:textId="77777777" w:rsidR="00F33B80" w:rsidRDefault="004B08D7">
      <w:pPr>
        <w:jc w:val="center"/>
        <w:rPr>
          <w:color w:val="000000"/>
        </w:rPr>
      </w:pPr>
      <w:r>
        <w:rPr>
          <w:color w:val="000000"/>
        </w:rPr>
        <w:t>Įmonės _____________________ technologinio pajėgumo įvertinimas</w:t>
      </w:r>
    </w:p>
    <w:p w14:paraId="1C83E51E" w14:textId="77777777" w:rsidR="00F33B80" w:rsidRDefault="00F33B80">
      <w:pPr>
        <w:jc w:val="center"/>
        <w:rPr>
          <w:b/>
          <w:bCs/>
          <w:color w:val="000000"/>
        </w:rPr>
      </w:pPr>
    </w:p>
    <w:p w14:paraId="1C83E51F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 lentelė</w:t>
      </w:r>
    </w:p>
    <w:p w14:paraId="1C83E520" w14:textId="77777777" w:rsidR="00F33B80" w:rsidRDefault="00F33B80">
      <w:pPr>
        <w:tabs>
          <w:tab w:val="left" w:pos="1984"/>
          <w:tab w:val="left" w:pos="3628"/>
          <w:tab w:val="left" w:pos="5556"/>
          <w:tab w:val="left" w:pos="7313"/>
        </w:tabs>
        <w:ind w:firstLine="709"/>
        <w:rPr>
          <w:color w:val="000000"/>
          <w:szCs w:val="18"/>
        </w:rPr>
      </w:pPr>
    </w:p>
    <w:tbl>
      <w:tblPr>
        <w:tblW w:w="9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602"/>
        <w:gridCol w:w="1913"/>
        <w:gridCol w:w="1696"/>
        <w:gridCol w:w="2492"/>
      </w:tblGrid>
      <w:tr w:rsidR="00F33B80" w14:paraId="1C83E526" w14:textId="77777777">
        <w:tc>
          <w:tcPr>
            <w:tcW w:w="1984" w:type="dxa"/>
          </w:tcPr>
          <w:p w14:paraId="1C83E521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Energetikos įrenginiai (sistemos)</w:t>
            </w:r>
          </w:p>
        </w:tc>
        <w:tc>
          <w:tcPr>
            <w:tcW w:w="1644" w:type="dxa"/>
          </w:tcPr>
          <w:p w14:paraId="1C83E522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Valdymo forma</w:t>
            </w:r>
          </w:p>
        </w:tc>
        <w:tc>
          <w:tcPr>
            <w:tcW w:w="1928" w:type="dxa"/>
          </w:tcPr>
          <w:p w14:paraId="1C83E523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Eksploatavimas ir priežiūra</w:t>
            </w:r>
          </w:p>
        </w:tc>
        <w:tc>
          <w:tcPr>
            <w:tcW w:w="1757" w:type="dxa"/>
          </w:tcPr>
          <w:p w14:paraId="1C83E524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Buvimo vieta</w:t>
            </w:r>
          </w:p>
        </w:tc>
        <w:tc>
          <w:tcPr>
            <w:tcW w:w="2542" w:type="dxa"/>
          </w:tcPr>
          <w:p w14:paraId="1C83E525" w14:textId="77777777" w:rsidR="00F33B80" w:rsidRDefault="004B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Licencijuojamos veiklos teritorija</w:t>
            </w:r>
          </w:p>
        </w:tc>
      </w:tr>
      <w:tr w:rsidR="00F33B80" w14:paraId="1C83E52C" w14:textId="77777777">
        <w:tc>
          <w:tcPr>
            <w:tcW w:w="1984" w:type="dxa"/>
          </w:tcPr>
          <w:p w14:paraId="1C83E527" w14:textId="77777777" w:rsidR="00F33B80" w:rsidRDefault="00F33B80">
            <w:pPr>
              <w:rPr>
                <w:color w:val="000000"/>
              </w:rPr>
            </w:pPr>
          </w:p>
        </w:tc>
        <w:tc>
          <w:tcPr>
            <w:tcW w:w="1644" w:type="dxa"/>
          </w:tcPr>
          <w:p w14:paraId="1C83E528" w14:textId="77777777" w:rsidR="00F33B80" w:rsidRDefault="00F33B80">
            <w:pPr>
              <w:rPr>
                <w:color w:val="000000"/>
              </w:rPr>
            </w:pPr>
          </w:p>
        </w:tc>
        <w:tc>
          <w:tcPr>
            <w:tcW w:w="1928" w:type="dxa"/>
          </w:tcPr>
          <w:p w14:paraId="1C83E529" w14:textId="77777777" w:rsidR="00F33B80" w:rsidRDefault="00F33B80">
            <w:pPr>
              <w:rPr>
                <w:color w:val="000000"/>
              </w:rPr>
            </w:pPr>
          </w:p>
        </w:tc>
        <w:tc>
          <w:tcPr>
            <w:tcW w:w="1757" w:type="dxa"/>
          </w:tcPr>
          <w:p w14:paraId="1C83E52A" w14:textId="77777777" w:rsidR="00F33B80" w:rsidRDefault="00F33B80">
            <w:pPr>
              <w:rPr>
                <w:color w:val="000000"/>
              </w:rPr>
            </w:pPr>
          </w:p>
        </w:tc>
        <w:tc>
          <w:tcPr>
            <w:tcW w:w="2542" w:type="dxa"/>
          </w:tcPr>
          <w:p w14:paraId="1C83E52B" w14:textId="77777777" w:rsidR="00F33B80" w:rsidRDefault="00F33B80">
            <w:pPr>
              <w:rPr>
                <w:b/>
                <w:bCs/>
                <w:color w:val="000000"/>
              </w:rPr>
            </w:pPr>
          </w:p>
        </w:tc>
      </w:tr>
      <w:tr w:rsidR="00F33B80" w14:paraId="1C83E532" w14:textId="77777777">
        <w:tc>
          <w:tcPr>
            <w:tcW w:w="1984" w:type="dxa"/>
          </w:tcPr>
          <w:p w14:paraId="1C83E52D" w14:textId="77777777" w:rsidR="00F33B80" w:rsidRDefault="00F33B80">
            <w:pPr>
              <w:rPr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1C83E52E" w14:textId="77777777" w:rsidR="00F33B80" w:rsidRDefault="00F33B80">
            <w:pPr>
              <w:rPr>
                <w:b/>
                <w:bCs/>
                <w:color w:val="000000"/>
              </w:rPr>
            </w:pPr>
          </w:p>
        </w:tc>
        <w:tc>
          <w:tcPr>
            <w:tcW w:w="1928" w:type="dxa"/>
          </w:tcPr>
          <w:p w14:paraId="1C83E52F" w14:textId="77777777" w:rsidR="00F33B80" w:rsidRDefault="00F33B80">
            <w:pPr>
              <w:rPr>
                <w:b/>
                <w:bCs/>
                <w:color w:val="000000"/>
              </w:rPr>
            </w:pPr>
          </w:p>
        </w:tc>
        <w:tc>
          <w:tcPr>
            <w:tcW w:w="1757" w:type="dxa"/>
          </w:tcPr>
          <w:p w14:paraId="1C83E530" w14:textId="77777777" w:rsidR="00F33B80" w:rsidRDefault="00F33B80">
            <w:pPr>
              <w:rPr>
                <w:b/>
                <w:bCs/>
                <w:color w:val="000000"/>
              </w:rPr>
            </w:pPr>
          </w:p>
        </w:tc>
        <w:tc>
          <w:tcPr>
            <w:tcW w:w="2542" w:type="dxa"/>
          </w:tcPr>
          <w:p w14:paraId="1C83E531" w14:textId="77777777" w:rsidR="00F33B80" w:rsidRDefault="00F33B80">
            <w:pPr>
              <w:rPr>
                <w:b/>
                <w:bCs/>
                <w:color w:val="000000"/>
              </w:rPr>
            </w:pPr>
          </w:p>
        </w:tc>
      </w:tr>
    </w:tbl>
    <w:p w14:paraId="1C83E533" w14:textId="050E4B07" w:rsidR="00F33B80" w:rsidRDefault="004B08D7">
      <w:pPr>
        <w:tabs>
          <w:tab w:val="left" w:pos="1984"/>
          <w:tab w:val="left" w:pos="3628"/>
          <w:tab w:val="left" w:pos="5556"/>
          <w:tab w:val="left" w:pos="7313"/>
        </w:tabs>
        <w:ind w:firstLine="709"/>
        <w:rPr>
          <w:color w:val="000000"/>
          <w:szCs w:val="18"/>
        </w:rPr>
      </w:pPr>
    </w:p>
    <w:p w14:paraId="1C83E534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Jeigu įmonė licencijuojamos veiklos teritorijoje nuosavybės teise valdo arba teisėtai naudoja įrenginius ir turi Valstybinės energetikos inspekcijos prie Ūkio ministerijos išduotą leidimą (atestatą) verstis įrenginių eksploatavimu </w:t>
      </w:r>
      <w:r>
        <w:rPr>
          <w:color w:val="000000"/>
        </w:rPr>
        <w:t>ir priežiūra arba yra sudariusi ilgalaikę sutartį dėl įrenginių eksploatavimo ir priežiūros su įmone, turinčia leidimą (atestatą) verstis šia veikla, jos technologinis pajėgumas įvertinamas kaip pakankamas vykdyti licencijuojamos veiklos sąlygas.</w:t>
      </w:r>
    </w:p>
    <w:p w14:paraId="1C83E535" w14:textId="77777777" w:rsidR="00F33B80" w:rsidRDefault="004B08D7">
      <w:pPr>
        <w:ind w:firstLine="709"/>
        <w:jc w:val="both"/>
        <w:rPr>
          <w:color w:val="000000"/>
        </w:rPr>
      </w:pPr>
    </w:p>
    <w:p w14:paraId="1C83E536" w14:textId="77777777" w:rsidR="00F33B80" w:rsidRDefault="004B08D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Finansinio pajėgumo įvertinimas</w:t>
      </w:r>
    </w:p>
    <w:p w14:paraId="1C83E537" w14:textId="77777777" w:rsidR="00F33B80" w:rsidRDefault="00F33B80">
      <w:pPr>
        <w:ind w:firstLine="709"/>
        <w:jc w:val="both"/>
        <w:rPr>
          <w:color w:val="000000"/>
        </w:rPr>
      </w:pPr>
    </w:p>
    <w:p w14:paraId="1C83E538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Įmonės finansinis pajėgumas įvertinamas pagal jos metinio balanso ir pelno (nuostolio) ataskaitų duomenis (Komisijai pateikusios prašymą išduoti licenciją įmonės finansinis pajėgumas įvertinamas pagal pastarųjų dv</w:t>
      </w:r>
      <w:r>
        <w:rPr>
          <w:color w:val="000000"/>
        </w:rPr>
        <w:t>ejų metų balanso ir pelno (nuostolio) ataskaitų duomenis).</w:t>
      </w:r>
    </w:p>
    <w:p w14:paraId="1C83E539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Pagal šių ataskaitų duomenis užpildoma 1 priede pateikta lentelė „Finansinės atskaitomybės duomenys“.</w:t>
      </w:r>
    </w:p>
    <w:p w14:paraId="1C83E53A" w14:textId="2C567968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Vadovaujantis Statistikos departamento „Įmonių finansinės būklės rodiklių apskaičiavimo </w:t>
      </w:r>
      <w:r>
        <w:rPr>
          <w:color w:val="000000"/>
        </w:rPr>
        <w:t>metodika ir jų charakteristikos“, apskaičiuojama 19 įmonės finansinės būklės rodiklių (4 pajamų apsaugos rodikliai ir 15 finansinio sverto rodiklių), kurie nurodomi 2 priede „Finansinės būklės rodikliai“. Kiekvienam iš šių rodiklių priklausomai nuo jo įver</w:t>
      </w:r>
      <w:r>
        <w:rPr>
          <w:color w:val="000000"/>
        </w:rPr>
        <w:t xml:space="preserve">tinimo lygio yra suteikiami balai: labai gerai – 1 balas, gerai – 0,75 balo, patenkinamai – 0,5 balo, nepatenkinamai – 0,25 balo, blogai – 0 balų. Įmonės finansinis pajėgumas įvertinamas kaip labai geras, kai iš viso jai skiriama 19–16,75 balo; geras, kai </w:t>
      </w:r>
      <w:r>
        <w:rPr>
          <w:color w:val="000000"/>
        </w:rPr>
        <w:t>iš viso skiriama 16,5–12 balų; patenkinamas, kai iš viso skiriama 11,75–7,25 balo; nepatenkinamas, kai iš viso skiriama 7–2,5 balo; blogas, kai iš viso skiriama 2,25 ir mažiau balų (2 lentelė).</w:t>
      </w:r>
    </w:p>
    <w:p w14:paraId="1C83E53B" w14:textId="4406CBD6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Vadovaujantis įmonės finansinio pajėgumo vertinimo lentele (2 </w:t>
      </w:r>
      <w:r>
        <w:rPr>
          <w:color w:val="000000"/>
        </w:rPr>
        <w:t>lentelė), įmonės finansiniam pajėgumui suteikiamas atitinkamas balas ir nurodomas jo įvertinimo lygis (3 lentelė).</w:t>
      </w:r>
    </w:p>
    <w:p w14:paraId="1C83E53C" w14:textId="1D8345C7" w:rsidR="00F33B80" w:rsidRDefault="00F33B80">
      <w:pPr>
        <w:ind w:firstLine="709"/>
        <w:jc w:val="both"/>
        <w:rPr>
          <w:color w:val="000000"/>
        </w:rPr>
      </w:pPr>
    </w:p>
    <w:p w14:paraId="1C83E53D" w14:textId="77777777" w:rsidR="00F33B80" w:rsidRDefault="004B08D7">
      <w:pPr>
        <w:jc w:val="center"/>
        <w:rPr>
          <w:b/>
          <w:bCs/>
          <w:color w:val="000000"/>
        </w:rPr>
      </w:pPr>
      <w:r>
        <w:rPr>
          <w:color w:val="000000"/>
        </w:rPr>
        <w:t>Įmonės finansinio pajėgumo vertinimo lentelė</w:t>
      </w:r>
    </w:p>
    <w:p w14:paraId="1C83E53E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2 lentelė</w:t>
      </w:r>
    </w:p>
    <w:p w14:paraId="1C83E53F" w14:textId="77777777" w:rsidR="00F33B80" w:rsidRDefault="00F33B80">
      <w:pPr>
        <w:tabs>
          <w:tab w:val="left" w:pos="2835"/>
          <w:tab w:val="left" w:pos="4422"/>
          <w:tab w:val="left" w:pos="5556"/>
          <w:tab w:val="left" w:pos="7087"/>
          <w:tab w:val="left" w:pos="8787"/>
        </w:tabs>
        <w:ind w:firstLine="709"/>
        <w:jc w:val="both"/>
        <w:rPr>
          <w:color w:val="000000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230"/>
        <w:gridCol w:w="1072"/>
        <w:gridCol w:w="1550"/>
        <w:gridCol w:w="2057"/>
        <w:gridCol w:w="1055"/>
      </w:tblGrid>
      <w:tr w:rsidR="00F33B80" w14:paraId="1C83E546" w14:textId="77777777">
        <w:trPr>
          <w:trHeight w:val="460"/>
        </w:trPr>
        <w:tc>
          <w:tcPr>
            <w:tcW w:w="2913" w:type="dxa"/>
            <w:tcBorders>
              <w:left w:val="nil"/>
              <w:tl2br w:val="single" w:sz="4" w:space="0" w:color="auto"/>
            </w:tcBorders>
          </w:tcPr>
          <w:p w14:paraId="1C83E540" w14:textId="77777777" w:rsidR="00F33B80" w:rsidRDefault="00F33B80">
            <w:pPr>
              <w:rPr>
                <w:color w:val="000000"/>
              </w:rPr>
            </w:pPr>
          </w:p>
        </w:tc>
        <w:tc>
          <w:tcPr>
            <w:tcW w:w="1309" w:type="dxa"/>
          </w:tcPr>
          <w:p w14:paraId="1C83E541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Labai geras</w:t>
            </w:r>
          </w:p>
        </w:tc>
        <w:tc>
          <w:tcPr>
            <w:tcW w:w="1122" w:type="dxa"/>
          </w:tcPr>
          <w:p w14:paraId="1C83E542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Geras</w:t>
            </w:r>
          </w:p>
        </w:tc>
        <w:tc>
          <w:tcPr>
            <w:tcW w:w="1496" w:type="dxa"/>
          </w:tcPr>
          <w:p w14:paraId="1C83E543" w14:textId="77777777" w:rsidR="00F33B80" w:rsidRDefault="004B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Patenkinamas</w:t>
            </w:r>
          </w:p>
        </w:tc>
        <w:tc>
          <w:tcPr>
            <w:tcW w:w="1954" w:type="dxa"/>
          </w:tcPr>
          <w:p w14:paraId="1C83E544" w14:textId="77777777" w:rsidR="00F33B80" w:rsidRDefault="004B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Nepatenkinamas*</w:t>
            </w:r>
          </w:p>
        </w:tc>
        <w:tc>
          <w:tcPr>
            <w:tcW w:w="1061" w:type="dxa"/>
            <w:tcBorders>
              <w:right w:val="nil"/>
            </w:tcBorders>
          </w:tcPr>
          <w:p w14:paraId="1C83E545" w14:textId="77777777" w:rsidR="00F33B80" w:rsidRDefault="004B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Blogas*</w:t>
            </w:r>
          </w:p>
        </w:tc>
      </w:tr>
      <w:tr w:rsidR="00F33B80" w14:paraId="1C83E54D" w14:textId="77777777">
        <w:trPr>
          <w:trHeight w:val="437"/>
        </w:trPr>
        <w:tc>
          <w:tcPr>
            <w:tcW w:w="2913" w:type="dxa"/>
            <w:tcBorders>
              <w:left w:val="nil"/>
            </w:tcBorders>
          </w:tcPr>
          <w:p w14:paraId="1C83E547" w14:textId="77777777" w:rsidR="00F33B80" w:rsidRDefault="004B08D7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Finansinės būklės rodiklio </w:t>
            </w:r>
            <w:r>
              <w:rPr>
                <w:color w:val="000000"/>
              </w:rPr>
              <w:t>įvertinimo lygiui skiriami balai</w:t>
            </w:r>
          </w:p>
        </w:tc>
        <w:tc>
          <w:tcPr>
            <w:tcW w:w="1309" w:type="dxa"/>
          </w:tcPr>
          <w:p w14:paraId="1C83E548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</w:tcPr>
          <w:p w14:paraId="1C83E549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0,75</w:t>
            </w:r>
          </w:p>
        </w:tc>
        <w:tc>
          <w:tcPr>
            <w:tcW w:w="1496" w:type="dxa"/>
          </w:tcPr>
          <w:p w14:paraId="1C83E54A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954" w:type="dxa"/>
          </w:tcPr>
          <w:p w14:paraId="1C83E54B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</w:t>
            </w:r>
          </w:p>
        </w:tc>
        <w:tc>
          <w:tcPr>
            <w:tcW w:w="1061" w:type="dxa"/>
            <w:tcBorders>
              <w:right w:val="nil"/>
            </w:tcBorders>
          </w:tcPr>
          <w:p w14:paraId="1C83E54C" w14:textId="77777777" w:rsidR="00F33B80" w:rsidRDefault="004B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3B80" w14:paraId="1C83E554" w14:textId="77777777">
        <w:trPr>
          <w:trHeight w:val="577"/>
        </w:trPr>
        <w:tc>
          <w:tcPr>
            <w:tcW w:w="2913" w:type="dxa"/>
            <w:tcBorders>
              <w:left w:val="nil"/>
            </w:tcBorders>
          </w:tcPr>
          <w:p w14:paraId="1C83E54E" w14:textId="77777777" w:rsidR="00F33B80" w:rsidRDefault="004B08D7">
            <w:pPr>
              <w:rPr>
                <w:color w:val="000000"/>
              </w:rPr>
            </w:pPr>
            <w:r>
              <w:rPr>
                <w:color w:val="000000"/>
              </w:rPr>
              <w:t>Įmonės finansinio pajėgumo įvertinimo lygiui skiriami balai</w:t>
            </w:r>
          </w:p>
        </w:tc>
        <w:tc>
          <w:tcPr>
            <w:tcW w:w="1309" w:type="dxa"/>
          </w:tcPr>
          <w:p w14:paraId="1C83E54F" w14:textId="77777777" w:rsidR="00F33B80" w:rsidRDefault="004B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19–16,75</w:t>
            </w:r>
          </w:p>
        </w:tc>
        <w:tc>
          <w:tcPr>
            <w:tcW w:w="1122" w:type="dxa"/>
          </w:tcPr>
          <w:p w14:paraId="1C83E550" w14:textId="77777777" w:rsidR="00F33B80" w:rsidRDefault="004B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16,5–12</w:t>
            </w:r>
          </w:p>
        </w:tc>
        <w:tc>
          <w:tcPr>
            <w:tcW w:w="1496" w:type="dxa"/>
          </w:tcPr>
          <w:p w14:paraId="1C83E551" w14:textId="77777777" w:rsidR="00F33B80" w:rsidRDefault="004B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11,75–7,25</w:t>
            </w:r>
          </w:p>
        </w:tc>
        <w:tc>
          <w:tcPr>
            <w:tcW w:w="1954" w:type="dxa"/>
          </w:tcPr>
          <w:p w14:paraId="1C83E552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7–2,5*</w:t>
            </w:r>
          </w:p>
        </w:tc>
        <w:tc>
          <w:tcPr>
            <w:tcW w:w="1061" w:type="dxa"/>
            <w:tcBorders>
              <w:right w:val="nil"/>
            </w:tcBorders>
          </w:tcPr>
          <w:p w14:paraId="1C83E553" w14:textId="77777777" w:rsidR="00F33B80" w:rsidRDefault="004B08D7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2,25–0*</w:t>
            </w:r>
          </w:p>
        </w:tc>
      </w:tr>
    </w:tbl>
    <w:p w14:paraId="1C83E555" w14:textId="29B19A90" w:rsidR="00F33B80" w:rsidRDefault="004B08D7">
      <w:pPr>
        <w:tabs>
          <w:tab w:val="left" w:pos="2835"/>
          <w:tab w:val="left" w:pos="4422"/>
          <w:tab w:val="left" w:pos="5556"/>
          <w:tab w:val="left" w:pos="7087"/>
          <w:tab w:val="left" w:pos="8787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*</w:t>
      </w:r>
      <w:r>
        <w:rPr>
          <w:color w:val="000000"/>
        </w:rPr>
        <w:t xml:space="preserve"> Įmonės finansinis pajėgumas neužtikrina licencijuojamos veiklos sąlygų vykdymo.</w:t>
      </w:r>
    </w:p>
    <w:p w14:paraId="1C83E556" w14:textId="65450C1B" w:rsidR="00F33B80" w:rsidRDefault="00F33B80">
      <w:pPr>
        <w:ind w:firstLine="709"/>
        <w:jc w:val="both"/>
        <w:rPr>
          <w:color w:val="000000"/>
        </w:rPr>
      </w:pPr>
    </w:p>
    <w:p w14:paraId="1C83E557" w14:textId="77777777" w:rsidR="00F33B80" w:rsidRDefault="004B08D7">
      <w:pPr>
        <w:jc w:val="center"/>
        <w:rPr>
          <w:color w:val="000000"/>
        </w:rPr>
      </w:pPr>
      <w:r>
        <w:rPr>
          <w:color w:val="000000"/>
        </w:rPr>
        <w:t xml:space="preserve">Įmonės </w:t>
      </w:r>
      <w:r>
        <w:rPr>
          <w:color w:val="000000"/>
        </w:rPr>
        <w:t>_____________________ finansinio pajėgumo įvertinimas</w:t>
      </w:r>
    </w:p>
    <w:p w14:paraId="1C83E558" w14:textId="77777777" w:rsidR="00F33B80" w:rsidRDefault="00F33B80">
      <w:pPr>
        <w:jc w:val="center"/>
        <w:rPr>
          <w:b/>
          <w:bCs/>
          <w:color w:val="000000"/>
        </w:rPr>
      </w:pPr>
    </w:p>
    <w:p w14:paraId="1C83E559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3 lentelė</w:t>
      </w:r>
    </w:p>
    <w:p w14:paraId="1C83E55A" w14:textId="77777777" w:rsidR="00F33B80" w:rsidRDefault="00F33B80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558"/>
        <w:gridCol w:w="1557"/>
        <w:gridCol w:w="2041"/>
      </w:tblGrid>
      <w:tr w:rsidR="00F33B80" w14:paraId="1C83E55F" w14:textId="77777777">
        <w:trPr>
          <w:trHeight w:val="401"/>
        </w:trPr>
        <w:tc>
          <w:tcPr>
            <w:tcW w:w="4592" w:type="dxa"/>
            <w:tcBorders>
              <w:left w:val="nil"/>
              <w:tl2br w:val="single" w:sz="4" w:space="0" w:color="auto"/>
            </w:tcBorders>
          </w:tcPr>
          <w:p w14:paraId="1C83E55B" w14:textId="77777777" w:rsidR="00F33B80" w:rsidRDefault="00F33B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1C83E55C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200_</w:t>
            </w:r>
          </w:p>
        </w:tc>
        <w:tc>
          <w:tcPr>
            <w:tcW w:w="1587" w:type="dxa"/>
          </w:tcPr>
          <w:p w14:paraId="1C83E55D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200_</w:t>
            </w:r>
          </w:p>
        </w:tc>
        <w:tc>
          <w:tcPr>
            <w:tcW w:w="2088" w:type="dxa"/>
            <w:tcBorders>
              <w:right w:val="nil"/>
            </w:tcBorders>
          </w:tcPr>
          <w:p w14:paraId="1C83E55E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200_</w:t>
            </w:r>
          </w:p>
        </w:tc>
      </w:tr>
      <w:tr w:rsidR="00F33B80" w14:paraId="1C83E564" w14:textId="77777777">
        <w:tc>
          <w:tcPr>
            <w:tcW w:w="4592" w:type="dxa"/>
            <w:tcBorders>
              <w:left w:val="nil"/>
            </w:tcBorders>
          </w:tcPr>
          <w:p w14:paraId="1C83E560" w14:textId="77777777" w:rsidR="00F33B80" w:rsidRDefault="004B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Finansinio pajėgumo įvertinimui skiriami balai</w:t>
            </w:r>
          </w:p>
        </w:tc>
        <w:tc>
          <w:tcPr>
            <w:tcW w:w="1588" w:type="dxa"/>
          </w:tcPr>
          <w:p w14:paraId="1C83E561" w14:textId="77777777" w:rsidR="00F33B80" w:rsidRDefault="00F33B80">
            <w:pPr>
              <w:jc w:val="both"/>
              <w:rPr>
                <w:color w:val="000000"/>
              </w:rPr>
            </w:pPr>
          </w:p>
        </w:tc>
        <w:tc>
          <w:tcPr>
            <w:tcW w:w="1587" w:type="dxa"/>
          </w:tcPr>
          <w:p w14:paraId="1C83E562" w14:textId="77777777" w:rsidR="00F33B80" w:rsidRDefault="00F33B80">
            <w:pPr>
              <w:jc w:val="both"/>
              <w:rPr>
                <w:color w:val="000000"/>
              </w:rPr>
            </w:pPr>
          </w:p>
        </w:tc>
        <w:tc>
          <w:tcPr>
            <w:tcW w:w="2088" w:type="dxa"/>
            <w:tcBorders>
              <w:right w:val="nil"/>
            </w:tcBorders>
          </w:tcPr>
          <w:p w14:paraId="1C83E563" w14:textId="77777777" w:rsidR="00F33B80" w:rsidRDefault="00F33B80">
            <w:pPr>
              <w:jc w:val="both"/>
              <w:rPr>
                <w:color w:val="000000"/>
              </w:rPr>
            </w:pPr>
          </w:p>
        </w:tc>
      </w:tr>
      <w:tr w:rsidR="00F33B80" w14:paraId="1C83E569" w14:textId="77777777">
        <w:tc>
          <w:tcPr>
            <w:tcW w:w="4592" w:type="dxa"/>
            <w:tcBorders>
              <w:left w:val="nil"/>
            </w:tcBorders>
          </w:tcPr>
          <w:p w14:paraId="1C83E565" w14:textId="77777777" w:rsidR="00F33B80" w:rsidRDefault="004B08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Finansinio pajėgumo įvertinimas</w:t>
            </w:r>
          </w:p>
        </w:tc>
        <w:tc>
          <w:tcPr>
            <w:tcW w:w="1588" w:type="dxa"/>
          </w:tcPr>
          <w:p w14:paraId="1C83E566" w14:textId="77777777" w:rsidR="00F33B80" w:rsidRDefault="00F33B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</w:tcPr>
          <w:p w14:paraId="1C83E567" w14:textId="77777777" w:rsidR="00F33B80" w:rsidRDefault="00F33B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right w:val="nil"/>
            </w:tcBorders>
          </w:tcPr>
          <w:p w14:paraId="1C83E568" w14:textId="77777777" w:rsidR="00F33B80" w:rsidRDefault="00F33B80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1C83E56A" w14:textId="5B5DDC33" w:rsidR="00F33B80" w:rsidRDefault="004B08D7">
      <w:pPr>
        <w:tabs>
          <w:tab w:val="left" w:pos="4592"/>
          <w:tab w:val="left" w:pos="6180"/>
          <w:tab w:val="left" w:pos="7767"/>
        </w:tabs>
        <w:ind w:firstLine="709"/>
        <w:jc w:val="both"/>
        <w:rPr>
          <w:b/>
          <w:bCs/>
          <w:color w:val="000000"/>
          <w:szCs w:val="18"/>
        </w:rPr>
      </w:pPr>
    </w:p>
    <w:p w14:paraId="1C83E56B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 Įmonės finansinis pajėgumas yra pakankamas licencijuojamos veiklos sąlygoms </w:t>
      </w:r>
      <w:r>
        <w:rPr>
          <w:color w:val="000000"/>
        </w:rPr>
        <w:t>vykdyti, jei pagal pastarųjų dvejų metų duomenis jis buvo įvertintas kaip patenkinamas ir geriau.</w:t>
      </w:r>
    </w:p>
    <w:p w14:paraId="1C83E56C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Įmonė, kurios finansinis pajėgumas netenkina Tvarkos 9 punkte nustatyto reikalavimo, turi teisę pateikti Komisijai papildomus dokumentus (banko ar kt.</w:t>
      </w:r>
      <w:r>
        <w:rPr>
          <w:color w:val="000000"/>
        </w:rPr>
        <w:t xml:space="preserve"> finansinių garantijų raštus, aiškinamuosius raštus), galinčius turėti įtakos įmonės finansinio pajėgumo įvertinimui. Juos išnagrinėjusi, Komisija gali nuspręsti įvertinti įmonės finansinį pajėgumą kaip pakankamą licencijuojamos veiklos sąlygoms vykdyti.</w:t>
      </w:r>
    </w:p>
    <w:p w14:paraId="1C83E56D" w14:textId="77777777" w:rsidR="00F33B80" w:rsidRDefault="004B08D7">
      <w:pPr>
        <w:ind w:firstLine="709"/>
        <w:jc w:val="both"/>
        <w:rPr>
          <w:color w:val="000000"/>
        </w:rPr>
      </w:pPr>
    </w:p>
    <w:p w14:paraId="1C83E56E" w14:textId="77777777" w:rsidR="00F33B80" w:rsidRDefault="004B08D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Vadybinio pajėgumo įvertinimas</w:t>
      </w:r>
    </w:p>
    <w:p w14:paraId="1C83E56F" w14:textId="77777777" w:rsidR="00F33B80" w:rsidRDefault="00F33B80">
      <w:pPr>
        <w:ind w:firstLine="709"/>
        <w:jc w:val="both"/>
        <w:rPr>
          <w:color w:val="000000"/>
        </w:rPr>
      </w:pPr>
    </w:p>
    <w:p w14:paraId="1C83E570" w14:textId="7D9E2C1D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Įmonė privalo turėti darbuotojus licencijuojamai veiklai vykdyti ir ataskaitoms rengti, atskirai licencijuojamos veiklos apskaitai tvarkyti, vartotojams informuoti ir konsultuoti bei skundams dėl licencijuo</w:t>
      </w:r>
      <w:r>
        <w:rPr>
          <w:color w:val="000000"/>
        </w:rPr>
        <w:t>jamos veiklos sąlygų nagrinėti.</w:t>
      </w:r>
    </w:p>
    <w:p w14:paraId="1C83E571" w14:textId="5F7E9E0B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Vadovaujantis įmonės pateikta informacija apie padalinius, filialus ir valdymo organus, įmonės vadybinio pajėgumo įvertinimo lentelėje (4 lentelė) nurodomas šias funkcijas atliekantis įmonės padalinys (skyrius) ir darbuotojų</w:t>
      </w:r>
      <w:r>
        <w:rPr>
          <w:color w:val="000000"/>
        </w:rPr>
        <w:t xml:space="preserve"> skaičius.</w:t>
      </w:r>
    </w:p>
    <w:p w14:paraId="1C83E572" w14:textId="6DD793ED" w:rsidR="00F33B80" w:rsidRDefault="00F33B80">
      <w:pPr>
        <w:ind w:firstLine="709"/>
        <w:jc w:val="both"/>
        <w:rPr>
          <w:color w:val="000000"/>
        </w:rPr>
      </w:pPr>
    </w:p>
    <w:p w14:paraId="1C83E573" w14:textId="77777777" w:rsidR="00F33B80" w:rsidRDefault="004B08D7">
      <w:pPr>
        <w:jc w:val="center"/>
        <w:rPr>
          <w:color w:val="000000"/>
        </w:rPr>
      </w:pPr>
      <w:r>
        <w:rPr>
          <w:color w:val="000000"/>
        </w:rPr>
        <w:t>Įmonės ______________________ vadybinio pajėgumo įvertinimas</w:t>
      </w:r>
    </w:p>
    <w:p w14:paraId="1C83E574" w14:textId="77777777" w:rsidR="00F33B80" w:rsidRDefault="00F33B80">
      <w:pPr>
        <w:jc w:val="center"/>
        <w:rPr>
          <w:b/>
          <w:bCs/>
          <w:color w:val="000000"/>
        </w:rPr>
      </w:pPr>
    </w:p>
    <w:p w14:paraId="1C83E575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4 lentelė</w:t>
      </w:r>
    </w:p>
    <w:p w14:paraId="1C83E576" w14:textId="77777777" w:rsidR="00F33B80" w:rsidRDefault="00F33B80">
      <w:pPr>
        <w:tabs>
          <w:tab w:val="left" w:pos="2154"/>
          <w:tab w:val="left" w:pos="4082"/>
          <w:tab w:val="left" w:pos="5669"/>
          <w:tab w:val="left" w:pos="7370"/>
        </w:tabs>
        <w:ind w:firstLine="709"/>
        <w:jc w:val="both"/>
        <w:rPr>
          <w:color w:val="000000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059"/>
        <w:gridCol w:w="2059"/>
        <w:gridCol w:w="1610"/>
        <w:gridCol w:w="1942"/>
      </w:tblGrid>
      <w:tr w:rsidR="00F33B80" w14:paraId="1C83E57C" w14:textId="77777777">
        <w:trPr>
          <w:trHeight w:val="1100"/>
        </w:trPr>
        <w:tc>
          <w:tcPr>
            <w:tcW w:w="1987" w:type="dxa"/>
            <w:tcBorders>
              <w:left w:val="nil"/>
              <w:tl2br w:val="single" w:sz="4" w:space="0" w:color="auto"/>
            </w:tcBorders>
          </w:tcPr>
          <w:p w14:paraId="1C83E577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2128" w:type="dxa"/>
          </w:tcPr>
          <w:p w14:paraId="1C83E578" w14:textId="77777777" w:rsidR="00F33B80" w:rsidRDefault="004B08D7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Licencijuojamos veiklos vykdymas</w:t>
            </w:r>
          </w:p>
        </w:tc>
        <w:tc>
          <w:tcPr>
            <w:tcW w:w="2128" w:type="dxa"/>
          </w:tcPr>
          <w:p w14:paraId="1C83E579" w14:textId="77777777" w:rsidR="00F33B80" w:rsidRDefault="004B08D7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Licencijuojamos veiklos apskaitos tvarkymas</w:t>
            </w:r>
          </w:p>
        </w:tc>
        <w:tc>
          <w:tcPr>
            <w:tcW w:w="1612" w:type="dxa"/>
          </w:tcPr>
          <w:p w14:paraId="1C83E57A" w14:textId="77777777" w:rsidR="00F33B80" w:rsidRDefault="004B08D7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Vartotojų informavimas ir konsultavimas</w:t>
            </w:r>
          </w:p>
        </w:tc>
        <w:tc>
          <w:tcPr>
            <w:tcW w:w="2000" w:type="dxa"/>
            <w:tcBorders>
              <w:right w:val="nil"/>
            </w:tcBorders>
          </w:tcPr>
          <w:p w14:paraId="1C83E57B" w14:textId="77777777" w:rsidR="00F33B80" w:rsidRDefault="004B08D7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Skundų dėl licencijuojamos veiklos sąlygų nagrinėjima</w:t>
            </w:r>
            <w:r>
              <w:rPr>
                <w:color w:val="000000"/>
                <w:szCs w:val="18"/>
              </w:rPr>
              <w:t>s</w:t>
            </w:r>
          </w:p>
        </w:tc>
      </w:tr>
      <w:tr w:rsidR="00F33B80" w14:paraId="1C83E582" w14:textId="77777777">
        <w:tc>
          <w:tcPr>
            <w:tcW w:w="1987" w:type="dxa"/>
            <w:tcBorders>
              <w:left w:val="nil"/>
            </w:tcBorders>
          </w:tcPr>
          <w:p w14:paraId="1C83E57D" w14:textId="77777777" w:rsidR="00F33B80" w:rsidRDefault="004B08D7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Funkcijas atliekantis padalinys/skyrius</w:t>
            </w:r>
          </w:p>
        </w:tc>
        <w:tc>
          <w:tcPr>
            <w:tcW w:w="2128" w:type="dxa"/>
          </w:tcPr>
          <w:p w14:paraId="1C83E57E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2128" w:type="dxa"/>
          </w:tcPr>
          <w:p w14:paraId="1C83E57F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1612" w:type="dxa"/>
          </w:tcPr>
          <w:p w14:paraId="1C83E580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2000" w:type="dxa"/>
            <w:tcBorders>
              <w:right w:val="nil"/>
            </w:tcBorders>
          </w:tcPr>
          <w:p w14:paraId="1C83E581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</w:tr>
      <w:tr w:rsidR="00F33B80" w14:paraId="1C83E588" w14:textId="77777777">
        <w:tc>
          <w:tcPr>
            <w:tcW w:w="1987" w:type="dxa"/>
            <w:tcBorders>
              <w:left w:val="nil"/>
            </w:tcBorders>
          </w:tcPr>
          <w:p w14:paraId="1C83E583" w14:textId="77777777" w:rsidR="00F33B80" w:rsidRDefault="004B08D7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Darbuotojų skaičius</w:t>
            </w:r>
          </w:p>
        </w:tc>
        <w:tc>
          <w:tcPr>
            <w:tcW w:w="2128" w:type="dxa"/>
          </w:tcPr>
          <w:p w14:paraId="1C83E584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2128" w:type="dxa"/>
          </w:tcPr>
          <w:p w14:paraId="1C83E585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1612" w:type="dxa"/>
          </w:tcPr>
          <w:p w14:paraId="1C83E586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  <w:tc>
          <w:tcPr>
            <w:tcW w:w="2000" w:type="dxa"/>
            <w:tcBorders>
              <w:right w:val="nil"/>
            </w:tcBorders>
          </w:tcPr>
          <w:p w14:paraId="1C83E587" w14:textId="77777777" w:rsidR="00F33B80" w:rsidRDefault="00F33B80">
            <w:pPr>
              <w:jc w:val="both"/>
              <w:rPr>
                <w:color w:val="000000"/>
                <w:szCs w:val="18"/>
              </w:rPr>
            </w:pPr>
          </w:p>
        </w:tc>
      </w:tr>
    </w:tbl>
    <w:p w14:paraId="1C83E589" w14:textId="7057A811" w:rsidR="00F33B80" w:rsidRDefault="004B08D7">
      <w:pPr>
        <w:tabs>
          <w:tab w:val="left" w:pos="2154"/>
          <w:tab w:val="left" w:pos="4082"/>
          <w:tab w:val="left" w:pos="5669"/>
          <w:tab w:val="left" w:pos="7370"/>
        </w:tabs>
        <w:ind w:firstLine="709"/>
        <w:jc w:val="both"/>
        <w:rPr>
          <w:color w:val="000000"/>
          <w:szCs w:val="18"/>
        </w:rPr>
      </w:pPr>
    </w:p>
    <w:p w14:paraId="1C83E58A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Jeigu įmonės valdymo struktūroje yra numatyti atitinkami padaliniai (skyriai) ar darbuotojai Tvarkos 11 punkte išvardytų funkcijų vykdymui, jos vadybinis pajėgumas </w:t>
      </w:r>
      <w:r>
        <w:rPr>
          <w:color w:val="000000"/>
        </w:rPr>
        <w:t>įvertinamas kaip pakankamas vykdyti licencijuojamos veiklos sąlygas.</w:t>
      </w:r>
    </w:p>
    <w:p w14:paraId="1C83E58B" w14:textId="77777777" w:rsidR="00F33B80" w:rsidRDefault="004B08D7">
      <w:pPr>
        <w:ind w:firstLine="709"/>
        <w:jc w:val="both"/>
        <w:rPr>
          <w:color w:val="000000"/>
        </w:rPr>
      </w:pPr>
    </w:p>
    <w:p w14:paraId="1C83E58C" w14:textId="635DC09E" w:rsidR="00F33B80" w:rsidRDefault="004B08D7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Baigiamosios nuostatos</w:t>
      </w:r>
    </w:p>
    <w:p w14:paraId="1C83E58D" w14:textId="77777777" w:rsidR="00F33B80" w:rsidRDefault="00F33B80">
      <w:pPr>
        <w:ind w:firstLine="709"/>
        <w:jc w:val="both"/>
        <w:rPr>
          <w:color w:val="000000"/>
          <w:szCs w:val="8"/>
        </w:rPr>
      </w:pPr>
    </w:p>
    <w:p w14:paraId="1C83E58E" w14:textId="77777777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. Įmonė turi teisę susipažinti su atlikto technologinio, finansinio ir vadybinio pajėgumo įvertinimo procedūromis ir rezultatais. Jei įmonė </w:t>
      </w:r>
      <w:r>
        <w:rPr>
          <w:color w:val="000000"/>
        </w:rPr>
        <w:t>nesutinka su įvertinimo rezultatais, ji turi pateikti Komisijai motyvuotą paaiškinimą.</w:t>
      </w:r>
    </w:p>
    <w:p w14:paraId="1C83E58F" w14:textId="0173E02A" w:rsidR="00F33B80" w:rsidRDefault="004B08D7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Išaiškėjus naujoms aplinkybėms arba įmonei pateikus papildomus ar patikslintus duomenis, atliekamas pakartotinis įmonės pajėgumo įvertinimas.</w:t>
      </w:r>
    </w:p>
    <w:p w14:paraId="1C83E590" w14:textId="6B5E3D43" w:rsidR="00F33B80" w:rsidRDefault="004B08D7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C83E591" w14:textId="63DE756E" w:rsidR="00F33B80" w:rsidRDefault="004B08D7" w:rsidP="004B08D7">
      <w:pPr>
        <w:ind w:left="7938" w:hanging="2836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1</w:t>
      </w:r>
      <w:r>
        <w:rPr>
          <w:color w:val="000000"/>
        </w:rPr>
        <w:t xml:space="preserve"> priedas</w:t>
      </w:r>
    </w:p>
    <w:p w14:paraId="1C83E592" w14:textId="77777777" w:rsidR="00F33B80" w:rsidRDefault="00F33B80">
      <w:pPr>
        <w:ind w:firstLine="5102"/>
        <w:rPr>
          <w:color w:val="000000"/>
        </w:rPr>
      </w:pPr>
    </w:p>
    <w:p w14:paraId="1C83E593" w14:textId="77777777" w:rsidR="00F33B80" w:rsidRDefault="004B08D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Įmonė ____________________________ </w:t>
      </w:r>
    </w:p>
    <w:p w14:paraId="1C83E594" w14:textId="77777777" w:rsidR="00F33B80" w:rsidRDefault="004B08D7">
      <w:pPr>
        <w:jc w:val="center"/>
        <w:rPr>
          <w:b/>
          <w:color w:val="000000"/>
          <w:szCs w:val="24"/>
        </w:rPr>
      </w:pPr>
      <w:r>
        <w:rPr>
          <w:b/>
          <w:bCs/>
          <w:szCs w:val="24"/>
          <w:lang w:eastAsia="lt-LT"/>
        </w:rPr>
        <w:t>Finansinės atskaitomybės duomenys</w:t>
      </w:r>
    </w:p>
    <w:p w14:paraId="1C83E595" w14:textId="77777777" w:rsidR="00F33B80" w:rsidRDefault="00F33B80">
      <w:pPr>
        <w:jc w:val="center"/>
        <w:rPr>
          <w:color w:val="000000"/>
        </w:rPr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1020"/>
        <w:gridCol w:w="5026"/>
        <w:gridCol w:w="1204"/>
        <w:gridCol w:w="1204"/>
        <w:gridCol w:w="1183"/>
      </w:tblGrid>
      <w:tr w:rsidR="00F33B80" w14:paraId="1C83E59B" w14:textId="77777777">
        <w:trPr>
          <w:trHeight w:val="2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596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Eil. Nr. 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597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Finansinės atskaitomybės duomenys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98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99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59A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</w:tr>
      <w:tr w:rsidR="00F33B80" w14:paraId="1C83E5A1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9C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59D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Veiklos rezultato duomenys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9E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9F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5A0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A7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2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3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Pardavimai ir paslaugos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A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AD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8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Parduotų prekių ir atliktų darbų savikaina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A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B3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E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AF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Bendrasis pelnas (nuostolis)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B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B9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4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5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Veiklos sąnaudos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B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BF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B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Veiklos pelnas (nuostolis)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B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B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C5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0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1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 veikla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C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CB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6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7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Finansinė ir investicinė veikla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C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D1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C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D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Įprastinės veiklos pelnas (nuostolis)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E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CF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D0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D7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2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3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Pagautė </w:t>
            </w:r>
            <w:r>
              <w:rPr>
                <w:sz w:val="20"/>
                <w:lang w:eastAsia="lt-LT"/>
              </w:rPr>
              <w:t>(ypatingas pelnas)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4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5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D6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DD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8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Netekimai (ypatingieji praradimai)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A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B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DC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E3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E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DF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Grynasis pelnas (nuostolis)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0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1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E2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E9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4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5E5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Balansiniai duomenys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6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7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E8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EF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5EB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Turtas iš viso: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C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ED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EE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5F5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0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1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Ilgalaikis turtas: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F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5FB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6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7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Formavimo savikaina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5F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01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C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D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Nematerialusis turtas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5F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0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07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2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3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Materialusis turtas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0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0D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8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Ilgalaikis finansinis turtas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0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13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E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0F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vienerių metų gautinos sumos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1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19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4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5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Trumpalaikis turtas: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1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1F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B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Atsargos ir nebaigtos vykdyti sutartys: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1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1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25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0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1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jų: atsargos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2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2B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6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7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vienerius metus gautinos sumos: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2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31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C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D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</w:t>
            </w:r>
            <w:r>
              <w:rPr>
                <w:sz w:val="20"/>
                <w:lang w:eastAsia="lt-LT"/>
              </w:rPr>
              <w:t>jų: pirkėjų įsiskolinimas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2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3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37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2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3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Investicijos ir terminuoti indėliai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3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3D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8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Grynieji pinigai sąskaitoje ir kasoje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3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43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E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 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3F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Savininkų nuosavybė ir įsipareigojimai iš viso: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4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49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4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5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Savininkų nuosavybė: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4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4F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B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Kapitalas ir rezervai: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4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4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55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0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1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jų: </w:t>
            </w:r>
            <w:r>
              <w:rPr>
                <w:sz w:val="20"/>
                <w:lang w:eastAsia="lt-LT"/>
              </w:rPr>
              <w:t>kapitalas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5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5B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6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7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Finansavimas (dotacijos ir subsidijos)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5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61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C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D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Atidėjimai ir atidėtieji mokesčiai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5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6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67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2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3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Mokėtinos sumos ir įsipareigojimai: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6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6D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8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9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Ilgalaikiai įsipareigojimai: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A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B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6C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673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E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6F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jų: finansinės skolos kreditinėms institucijoms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7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79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4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5" w14:textId="77777777" w:rsidR="00F33B80" w:rsidRDefault="004B08D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Trumpalaikiai įsipareigojimai: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6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7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78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67F" w14:textId="77777777">
        <w:trPr>
          <w:trHeight w:val="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A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B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jų: finansinės skolos kreditinėms institucijoms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67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3E67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</w:tbl>
    <w:p w14:paraId="1C83E680" w14:textId="42F91B2D" w:rsidR="00F33B80" w:rsidRDefault="004B08D7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5EA87B4D" w14:textId="1C2B5D09" w:rsidR="004B08D7" w:rsidRDefault="004B08D7">
      <w:pPr>
        <w:jc w:val="center"/>
        <w:rPr>
          <w:color w:val="000000"/>
        </w:rPr>
      </w:pPr>
    </w:p>
    <w:p w14:paraId="1C83E682" w14:textId="77777777" w:rsidR="00F33B80" w:rsidRDefault="00F33B80">
      <w:pPr>
        <w:jc w:val="center"/>
        <w:rPr>
          <w:color w:val="000000"/>
        </w:rPr>
        <w:sectPr w:rsidR="00F33B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C83E684" w14:textId="0D86A69C" w:rsidR="00F33B80" w:rsidRDefault="004B08D7" w:rsidP="004B08D7">
      <w:pPr>
        <w:ind w:firstLine="12049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tbl>
      <w:tblPr>
        <w:tblW w:w="13608" w:type="dxa"/>
        <w:tblLook w:val="0000" w:firstRow="0" w:lastRow="0" w:firstColumn="0" w:lastColumn="0" w:noHBand="0" w:noVBand="0"/>
      </w:tblPr>
      <w:tblGrid>
        <w:gridCol w:w="3117"/>
        <w:gridCol w:w="1799"/>
        <w:gridCol w:w="1483"/>
        <w:gridCol w:w="616"/>
        <w:gridCol w:w="616"/>
        <w:gridCol w:w="616"/>
        <w:gridCol w:w="616"/>
        <w:gridCol w:w="616"/>
        <w:gridCol w:w="616"/>
        <w:gridCol w:w="679"/>
        <w:gridCol w:w="683"/>
        <w:gridCol w:w="811"/>
        <w:gridCol w:w="1033"/>
        <w:gridCol w:w="772"/>
      </w:tblGrid>
      <w:tr w:rsidR="00F33B80" w14:paraId="1C83E689" w14:textId="77777777">
        <w:trPr>
          <w:trHeight w:val="20"/>
        </w:trPr>
        <w:tc>
          <w:tcPr>
            <w:tcW w:w="6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685" w14:textId="77777777" w:rsidR="00F33B80" w:rsidRDefault="004B08D7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Įmonė ___________________</w:t>
            </w: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83E686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Rodiklio reikšmė</w:t>
            </w: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83E687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Vertinimo lygis ir skiriami balai</w:t>
            </w:r>
          </w:p>
        </w:tc>
        <w:tc>
          <w:tcPr>
            <w:tcW w:w="397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83E688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Orientacinis vertinimo lygis*</w:t>
            </w:r>
          </w:p>
        </w:tc>
      </w:tr>
      <w:tr w:rsidR="00F33B80" w14:paraId="1C83E697" w14:textId="77777777">
        <w:trPr>
          <w:trHeight w:val="2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8A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Eil. Nr. 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8B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Finansinės būklės rodikliai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8C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8D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8E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8F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90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91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200_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9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Labai geras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9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Geras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9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Patenk.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9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Nepatenk.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E69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Blogas</w:t>
            </w:r>
          </w:p>
        </w:tc>
      </w:tr>
      <w:tr w:rsidR="00F33B80" w14:paraId="1C83E69B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83E69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83E699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Pajamų apsaugos rodikliai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83E69A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6AA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9C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9D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Bendrasis pelningumas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9E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(bendrasis pelnas / pardavimai ir paslaugos)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9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A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A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A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A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6A9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&lt;0</w:t>
            </w:r>
          </w:p>
        </w:tc>
      </w:tr>
      <w:tr w:rsidR="00F33B80" w14:paraId="1C83E6B9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AB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AC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pelningumas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D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(grynasis pelnas / pardavimai ir paslaugos)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A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B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B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B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B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6B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&lt;0</w:t>
            </w:r>
          </w:p>
        </w:tc>
      </w:tr>
      <w:tr w:rsidR="00F33B80" w14:paraId="1C83E6C8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BA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BB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Turto grąža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C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(grynasis pelnas / turtas)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B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C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C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C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C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6C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&lt;0</w:t>
            </w:r>
          </w:p>
        </w:tc>
      </w:tr>
      <w:tr w:rsidR="00F33B80" w14:paraId="1C83E6D7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C9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C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Nuosavybės (kapitalo) grąža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B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(grynasis pelnas / kapitalas ir rezervai)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C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D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D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D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D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D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D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6D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&lt;0</w:t>
            </w:r>
          </w:p>
        </w:tc>
      </w:tr>
      <w:tr w:rsidR="00F33B80" w14:paraId="1C83E6DB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83E6D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II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83E6D9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Finansinio sverto rodikliai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83E6DA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33B80" w14:paraId="1C83E6EA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DC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DD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Auksinės balanso taisyklės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DE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ilgalaikis turtas / (savininkų nuosavybė + ilgalaikiai įsipareigojimai)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D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E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E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E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E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6E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6F9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EB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EC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Įsiskolinimo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D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(visi įsipareigojimai / turtas)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E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F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F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F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F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6F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&gt;100</w:t>
            </w:r>
          </w:p>
        </w:tc>
      </w:tr>
      <w:tr w:rsidR="00F33B80" w14:paraId="1C83E708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FA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6FB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įsiskolinimo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C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(ilgalaikiai įsipareigojimai / turtas)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6F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0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0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0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0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0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717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09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0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Trumpalaikio įsiskolinimo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B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trumpalaikiai </w:t>
            </w:r>
            <w:r>
              <w:rPr>
                <w:sz w:val="20"/>
                <w:lang w:eastAsia="lt-LT"/>
              </w:rPr>
              <w:t>įsipareigojimai / turtas)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0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1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</w:tr>
      <w:tr w:rsidR="00F33B80" w14:paraId="1C83E722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Turto struktūros koef.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A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(trumpalaikis turtas / turtas)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1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1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2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3E72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Neturi būti ryškių svyravimų.</w:t>
            </w:r>
          </w:p>
        </w:tc>
      </w:tr>
      <w:tr w:rsidR="00F33B80" w14:paraId="1C83E72D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2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10.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24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apyvartinis kapitalas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trumpalaikis turtas – trumpalaikiai įsipareigojimai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2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3E72C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Teigiamas dydis. Kuo didesnis, tuo geriau.</w:t>
            </w:r>
          </w:p>
        </w:tc>
      </w:tr>
      <w:tr w:rsidR="00F33B80" w14:paraId="1C83E738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2E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2F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Grynojo apyvartinio kapitalo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apyvartinis kapitalas / turtas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2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3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35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3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3E73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Kuo didesnis, tuo geriau.</w:t>
            </w:r>
          </w:p>
        </w:tc>
      </w:tr>
      <w:tr w:rsidR="00F33B80" w14:paraId="1C83E747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39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3A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ir nuosavybės (sverto)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B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(visi įsipareigojimai / savininkų nuosavybė) x 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3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1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4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4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4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4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4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</w:tr>
      <w:tr w:rsidR="00F33B80" w14:paraId="1C83E756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4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4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Einamojo likvidumo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A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trumpalaikis turtas / trumpalaikiai įsipareigojimai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4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0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5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5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5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5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5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&lt;1,0</w:t>
            </w:r>
          </w:p>
        </w:tc>
      </w:tr>
      <w:tr w:rsidR="00F33B80" w14:paraId="1C83E765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5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58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Kritinio likvidumo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9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(trumpalaikis turtas – atsargos) / trumpalaikiai įsipareigojimai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5F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6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&lt;0,5</w:t>
            </w:r>
          </w:p>
        </w:tc>
      </w:tr>
      <w:tr w:rsidR="00F33B80" w14:paraId="1C83E774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7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Bendrojo likvidumo koef.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savininkų nuosavybė / visi įsipareigojimai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6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6F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7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&lt;0,5</w:t>
            </w:r>
          </w:p>
        </w:tc>
      </w:tr>
      <w:tr w:rsidR="00F33B80" w14:paraId="1C83E783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16.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6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Manevringumo koef.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7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trumpalaikis turtas / savininkų nuosavybė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7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E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7F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8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</w:t>
            </w:r>
          </w:p>
        </w:tc>
      </w:tr>
      <w:tr w:rsidR="00F33B80" w14:paraId="1C83E792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17.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5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įsiskolinimo koef. (360 d.)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(pirkėjų </w:t>
            </w:r>
            <w:r>
              <w:rPr>
                <w:sz w:val="20"/>
                <w:lang w:eastAsia="lt-LT"/>
              </w:rPr>
              <w:t>įsiskolinimas / pardavimai ir paslaugos) x 360 (d.)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8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D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E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8F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9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9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&gt;90</w:t>
            </w:r>
          </w:p>
        </w:tc>
      </w:tr>
      <w:tr w:rsidR="00F33B80" w14:paraId="1C83E7A5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9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94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Turto apyvartumas (gamyboje/prekyb.)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pardavimai ir paslaugos / turtas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6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8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C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&gt;2,0</w:t>
            </w:r>
          </w:p>
          <w:p w14:paraId="1C83E79D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9E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&gt;1,0</w:t>
            </w:r>
          </w:p>
          <w:p w14:paraId="1C83E79F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1,0</w:t>
            </w:r>
          </w:p>
          <w:p w14:paraId="1C83E7A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&lt;1,0</w:t>
            </w:r>
          </w:p>
          <w:p w14:paraId="1C83E7A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A4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7B8" w14:textId="77777777">
        <w:trPr>
          <w:trHeight w:val="2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A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7A7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Ilg. turto apyvartumas (gamyb./prekyb.)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8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pardavimai ir</w:t>
            </w:r>
            <w:r>
              <w:rPr>
                <w:sz w:val="20"/>
                <w:lang w:eastAsia="lt-LT"/>
              </w:rPr>
              <w:t xml:space="preserve"> paslaugos / ilgalaikis turtas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9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A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B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C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D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E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AF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&gt;1,5</w:t>
            </w:r>
          </w:p>
          <w:p w14:paraId="1C83E7B0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B1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&gt;1,0</w:t>
            </w:r>
          </w:p>
          <w:p w14:paraId="1C83E7B2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&gt;3,0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B3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1,0</w:t>
            </w:r>
          </w:p>
          <w:p w14:paraId="1C83E7B4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7B5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&lt;1,0</w:t>
            </w:r>
          </w:p>
          <w:p w14:paraId="1C83E7B6" w14:textId="77777777" w:rsidR="00F33B80" w:rsidRDefault="004B08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&lt;3,0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E7B7" w14:textId="77777777" w:rsidR="00F33B80" w:rsidRDefault="00F33B80">
            <w:pPr>
              <w:ind w:firstLine="50"/>
              <w:jc w:val="center"/>
              <w:rPr>
                <w:sz w:val="20"/>
                <w:lang w:eastAsia="lt-LT"/>
              </w:rPr>
            </w:pPr>
          </w:p>
        </w:tc>
      </w:tr>
      <w:tr w:rsidR="00F33B80" w14:paraId="1C83E7C7" w14:textId="77777777">
        <w:trPr>
          <w:trHeight w:val="2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B9" w14:textId="77777777" w:rsidR="00F33B80" w:rsidRDefault="004B08D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 xml:space="preserve">*nurodomas vadovaujantis Statistikos departamento „Įmonių finansinės būklės rodiklių apskaičiavimo metodika ir jų charakteristikos“.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BA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BB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BC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BD" w14:textId="77777777" w:rsidR="00F33B80" w:rsidRDefault="00F33B80">
            <w:pPr>
              <w:ind w:firstLine="50"/>
              <w:rPr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BE" w14:textId="77777777" w:rsidR="00F33B80" w:rsidRDefault="004B08D7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83E7BF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83E7C0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83E7C1" w14:textId="77777777" w:rsidR="00F33B80" w:rsidRDefault="00F33B80">
            <w:pPr>
              <w:ind w:firstLine="5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C2" w14:textId="77777777" w:rsidR="00F33B80" w:rsidRDefault="00F33B80">
            <w:pPr>
              <w:rPr>
                <w:sz w:val="20"/>
                <w:lang w:eastAsia="lt-L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C3" w14:textId="77777777" w:rsidR="00F33B80" w:rsidRDefault="00F33B80">
            <w:pPr>
              <w:rPr>
                <w:sz w:val="20"/>
                <w:lang w:eastAsia="lt-L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C4" w14:textId="77777777" w:rsidR="00F33B80" w:rsidRDefault="00F33B80">
            <w:pPr>
              <w:rPr>
                <w:sz w:val="20"/>
                <w:lang w:eastAsia="lt-L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C5" w14:textId="77777777" w:rsidR="00F33B80" w:rsidRDefault="00F33B80">
            <w:pPr>
              <w:rPr>
                <w:sz w:val="20"/>
                <w:lang w:eastAsia="lt-L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7C6" w14:textId="77777777" w:rsidR="00F33B80" w:rsidRDefault="00F33B80">
            <w:pPr>
              <w:rPr>
                <w:sz w:val="20"/>
                <w:lang w:eastAsia="lt-LT"/>
              </w:rPr>
            </w:pPr>
          </w:p>
        </w:tc>
      </w:tr>
    </w:tbl>
    <w:p w14:paraId="1C83E7C9" w14:textId="12D9549F" w:rsidR="00F33B80" w:rsidRDefault="004B08D7" w:rsidP="004B08D7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______________</w:t>
      </w:r>
    </w:p>
    <w:p w14:paraId="1C83E7CA" w14:textId="49ED94AE" w:rsidR="00F33B80" w:rsidRDefault="004B08D7"/>
    <w:sectPr w:rsidR="00F33B80">
      <w:pgSz w:w="16839" w:h="11907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E7CE" w14:textId="77777777" w:rsidR="00F33B80" w:rsidRDefault="004B08D7">
      <w:r>
        <w:separator/>
      </w:r>
    </w:p>
  </w:endnote>
  <w:endnote w:type="continuationSeparator" w:id="0">
    <w:p w14:paraId="1C83E7CF" w14:textId="77777777" w:rsidR="00F33B80" w:rsidRDefault="004B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7D4" w14:textId="77777777" w:rsidR="00F33B80" w:rsidRDefault="00F33B8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7D5" w14:textId="77777777" w:rsidR="00F33B80" w:rsidRDefault="00F33B8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7D7" w14:textId="77777777" w:rsidR="00F33B80" w:rsidRDefault="00F33B8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E7CC" w14:textId="77777777" w:rsidR="00F33B80" w:rsidRDefault="004B08D7">
      <w:r>
        <w:separator/>
      </w:r>
    </w:p>
  </w:footnote>
  <w:footnote w:type="continuationSeparator" w:id="0">
    <w:p w14:paraId="1C83E7CD" w14:textId="77777777" w:rsidR="00F33B80" w:rsidRDefault="004B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7D0" w14:textId="77777777" w:rsidR="00F33B80" w:rsidRDefault="004B08D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C83E7D1" w14:textId="77777777" w:rsidR="00F33B80" w:rsidRDefault="00F33B8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7D2" w14:textId="77777777" w:rsidR="00F33B80" w:rsidRDefault="004B08D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</w:p>
  <w:p w14:paraId="1C83E7D3" w14:textId="77777777" w:rsidR="00F33B80" w:rsidRDefault="00F33B8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7D6" w14:textId="77777777" w:rsidR="00F33B80" w:rsidRDefault="00F33B8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3D"/>
    <w:rsid w:val="004B08D7"/>
    <w:rsid w:val="0074463D"/>
    <w:rsid w:val="00F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83E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0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0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C"/>
    <w:rsid w:val="009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7B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7B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7975</Words>
  <Characters>4546</Characters>
  <Application>Microsoft Office Word</Application>
  <DocSecurity>0</DocSecurity>
  <Lines>37</Lines>
  <Paragraphs>24</Paragraphs>
  <ScaleCrop>false</ScaleCrop>
  <Company/>
  <LinksUpToDate>false</LinksUpToDate>
  <CharactersWithSpaces>12497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2015-09-01T14:54:00Z</dcterms:created>
  <dc:creator>marina.buivid@gmail.com</dc:creator>
  <lastModifiedBy>DRAZDAUSKIENĖ Nijolė</lastModifiedBy>
  <dcterms:modified xsi:type="dcterms:W3CDTF">2016-05-10T10:29:00Z</dcterms:modified>
  <revision>3</revision>
</coreProperties>
</file>