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color w:val="000000"/>
        </w:rPr>
      </w:pPr>
      <w:r>
        <w:rPr>
          <w:color w:val="000000"/>
        </w:rPr>
        <w:pict w14:anchorId="6F0A232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LIETUVOS RESPUBLIKOS TEISINGUMO MINISTRO</w:t>
      </w:r>
    </w:p>
    <w:p>
      <w:pPr>
        <w:keepLines/>
        <w:widowControl w:val="0"/>
        <w:suppressAutoHyphens/>
        <w:jc w:val="center"/>
        <w:rPr>
          <w:color w:val="000000"/>
        </w:rPr>
      </w:pPr>
      <w:r>
        <w:rPr>
          <w:color w:val="000000"/>
        </w:rPr>
        <w:t>Į S A K Y M A 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DĖL TEISINGUMO MINISTRO 2005 M. SPALIO 27 D. ĮSAKYMO Nr. 1R-352 „DĖL SPRENDIMŲ VYKDYMO INSTRUKCIJOS PATVIRTINIMO“ PAKEITIMO</w:t>
      </w:r>
    </w:p>
    <w:p>
      <w:pPr>
        <w:widowControl w:val="0"/>
        <w:suppressAutoHyphens/>
        <w:ind w:firstLine="567"/>
        <w:jc w:val="both"/>
        <w:rPr>
          <w:color w:val="000000"/>
        </w:rPr>
      </w:pPr>
    </w:p>
    <w:p>
      <w:pPr>
        <w:keepLines/>
        <w:widowControl w:val="0"/>
        <w:suppressAutoHyphens/>
        <w:jc w:val="center"/>
        <w:rPr>
          <w:color w:val="000000"/>
        </w:rPr>
      </w:pPr>
      <w:r>
        <w:rPr>
          <w:color w:val="000000"/>
        </w:rPr>
        <w:t>2012 m. spalio 31 d. Nr. 1R-274</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r>
        <w:rPr>
          <w:color w:val="000000"/>
          <w:spacing w:val="64"/>
        </w:rPr>
        <w:t>Pakeičiu</w:t>
      </w:r>
      <w:r>
        <w:rPr>
          <w:color w:val="000000"/>
          <w:spacing w:val="-3"/>
        </w:rPr>
        <w:t xml:space="preserve"> Sprendimų vykdymo instrukciją, patvirtintą Lietuvos Respublikos teisingumo ministro 2005 m. spalio 27 d. įsakymu Nr. 1R-352 „Dėl Sprendimų vykdymo instrukcijos patvirtinimo“ (Žin., 2005, Nr. </w:t>
      </w:r>
      <w:fldSimple w:instr="HYPERLINK https://www.e-tar.lt/portal/lt/legalAct/TAR.64941CC184C3 \t _blank">
        <w:r>
          <w:rPr>
            <w:color w:val="0000FF" w:themeColor="hyperlink"/>
            <w:spacing w:val="-3"/>
            <w:u w:val="single"/>
          </w:rPr>
          <w:t>130-4682</w:t>
        </w:r>
      </w:fldSimple>
      <w:r>
        <w:rPr>
          <w:color w:val="000000"/>
          <w:spacing w:val="-3"/>
        </w:rPr>
        <w:t xml:space="preserve">; 2011, Nr. </w:t>
      </w:r>
      <w:fldSimple w:instr="HYPERLINK https://www.e-tar.lt/portal/lt/legalAct/TAR.FF39F83DB4CB \t _blank">
        <w:r>
          <w:rPr>
            <w:color w:val="0000FF" w:themeColor="hyperlink"/>
            <w:spacing w:val="-3"/>
            <w:u w:val="single"/>
          </w:rPr>
          <w:t>137-649</w:t>
        </w:r>
        <w:r>
          <w:rPr>
            <w:color w:val="0000FF" w:themeColor="hyperlink"/>
            <w:u w:val="single"/>
          </w:rPr>
          <w:t>5</w:t>
        </w:r>
      </w:fldSimple>
      <w:r>
        <w:rPr>
          <w:color w:val="000000"/>
        </w:rPr>
        <w:t>):</w:t>
      </w:r>
    </w:p>
    <w:p>
      <w:pPr>
        <w:widowControl w:val="0"/>
        <w:suppressAutoHyphens/>
        <w:ind w:firstLine="567"/>
        <w:jc w:val="both"/>
        <w:rPr>
          <w:color w:val="000000"/>
        </w:rPr>
      </w:pPr>
      <w:r>
        <w:rPr>
          <w:color w:val="000000"/>
        </w:rPr>
        <w:t>1</w:t>
      </w:r>
      <w:r>
        <w:rPr>
          <w:color w:val="000000"/>
        </w:rPr>
        <w:t>. Išdėstau 3 punktą taip:</w:t>
      </w:r>
    </w:p>
    <w:p>
      <w:pPr>
        <w:widowControl w:val="0"/>
        <w:suppressAutoHyphens/>
        <w:ind w:firstLine="567"/>
        <w:jc w:val="both"/>
        <w:rPr>
          <w:color w:val="000000"/>
          <w:spacing w:val="-4"/>
        </w:rPr>
      </w:pPr>
      <w:r>
        <w:rPr>
          <w:color w:val="000000"/>
          <w:spacing w:val="-4"/>
        </w:rPr>
        <w:t>„</w:t>
      </w:r>
      <w:r>
        <w:rPr>
          <w:color w:val="000000"/>
          <w:spacing w:val="-4"/>
        </w:rPr>
        <w:t>3</w:t>
      </w:r>
      <w:r>
        <w:rPr>
          <w:color w:val="000000"/>
          <w:spacing w:val="-4"/>
        </w:rPr>
        <w:t>. Vykdomasis dokumentas pateikiamas vykdyti antstoliui, kurio aptarnaujamoje teritorijoje yra vykdymo vieta. Vykdymo vieta nustatoma pagal vykdomajame dokumente nurodytus duomenis apie skolininką arba pagal išieškotojo pateiktus duomenis.</w:t>
      </w:r>
    </w:p>
    <w:p>
      <w:pPr>
        <w:widowControl w:val="0"/>
        <w:suppressAutoHyphens/>
        <w:ind w:firstLine="567"/>
        <w:jc w:val="both"/>
        <w:rPr>
          <w:color w:val="000000"/>
        </w:rPr>
      </w:pPr>
      <w:r>
        <w:rPr>
          <w:color w:val="000000"/>
        </w:rPr>
        <w:t>Išieškotojas ar jo įgaliotas atstovas, pateikdamas vykdomąjį dokumentą antstoliui, pateikia prašymą priimti vykdomąjį dokumentą vykdyti. Prašyme aptariamas vykdymo išlaidų apmokėjimas: kada ir kokias vykdymo išlaidas apmoka išieškotojas. Jeigu vykdyti pateikiamas notaro išduotas vykdomasis įrašas dėl hipoteka ar įkeitimu užtikrinto skolinio įsipareigojimo išieškojimo, išieškotojas ar jo įgaliotas atstovas prašyme taip pat privalo nurodyti savo pasirinkimą dėl hipoteka ar įkeitimu įkeisto daikto pardavimo iš viešųjų varžytynių ar perdavimo išieškotojui administruoti, jeigu skolininkas per raginime nustatytą terminą neįvykdys hipoteka ar įkeitimu užtikrinto įsipareigojimo. Prašymas laikomas vykdomojoje byloje.</w:t>
      </w:r>
    </w:p>
    <w:p>
      <w:pPr>
        <w:widowControl w:val="0"/>
        <w:suppressAutoHyphens/>
        <w:ind w:firstLine="567"/>
        <w:jc w:val="both"/>
        <w:rPr>
          <w:color w:val="000000"/>
        </w:rPr>
      </w:pPr>
      <w:r>
        <w:rPr>
          <w:color w:val="000000"/>
        </w:rPr>
        <w:t>Išieškotojo prašymu antstolis, spręsdamas klausimą dėl vykdomojo dokumento priėmimo vykdyti, gali surinkti papildomą informaciją, reikalingą vykdymo vietai patikslinti.“</w:t>
      </w:r>
    </w:p>
    <w:p>
      <w:pPr>
        <w:widowControl w:val="0"/>
        <w:suppressAutoHyphens/>
        <w:ind w:firstLine="567"/>
        <w:jc w:val="both"/>
        <w:rPr>
          <w:color w:val="000000"/>
        </w:rPr>
      </w:pPr>
      <w:r>
        <w:rPr>
          <w:color w:val="000000"/>
        </w:rPr>
        <w:t>2</w:t>
      </w:r>
      <w:r>
        <w:rPr>
          <w:color w:val="000000"/>
        </w:rPr>
        <w:t>. Išdėstau 9 punktą taip:</w:t>
      </w:r>
    </w:p>
    <w:p>
      <w:pPr>
        <w:widowControl w:val="0"/>
        <w:suppressAutoHyphens/>
        <w:ind w:firstLine="567"/>
        <w:jc w:val="both"/>
        <w:rPr>
          <w:color w:val="000000"/>
        </w:rPr>
      </w:pPr>
      <w:r>
        <w:rPr>
          <w:color w:val="000000"/>
        </w:rPr>
        <w:t>„</w:t>
      </w:r>
      <w:r>
        <w:rPr>
          <w:color w:val="000000"/>
        </w:rPr>
        <w:t>9</w:t>
      </w:r>
      <w:r>
        <w:rPr>
          <w:color w:val="000000"/>
        </w:rPr>
        <w:t>. Antstolis gali turtą realizuoti, jeigu pats jį areštavo, išskyrus atvejį, kai, areštavus skolininko turtą, vykdomasis dokumentas persiunčiamas vykdyti kitam antstoliui (CPK 632 straipsnio 1 dalies 4 punktas).</w:t>
      </w:r>
    </w:p>
    <w:p>
      <w:pPr>
        <w:widowControl w:val="0"/>
        <w:suppressAutoHyphens/>
        <w:ind w:firstLine="567"/>
        <w:jc w:val="both"/>
        <w:rPr>
          <w:color w:val="000000"/>
        </w:rPr>
      </w:pPr>
      <w:r>
        <w:rPr>
          <w:color w:val="000000"/>
        </w:rPr>
        <w:t>Turtą areštavęs antstolis, persiųsdamas vykdomąjį dokumentą kitam antstoliui, kartu pateikia patvarkymą, kuriame nurodo, kokios priverstinio vykdymo priemonės yra pritaikytos, ir pateikia galiojančių turto arešto aktų ir patvarkymų, kuriais buvo taikytos priverstinio vykdymo priemonės, patvirtintas kopijas. Vykdomojo dokumento vykdymą tęsiantis antstolis naujo turto arešto akto turtui, kuriam galioja vykdomąjį dokumentą persiuntusio antstolio uždėtas areštas, nesurašo ir turi teisę šį turtą realizuoti šios Instrukcijos 11 punkte nustatyta tvarka.“</w:t>
      </w:r>
    </w:p>
    <w:p>
      <w:pPr>
        <w:widowControl w:val="0"/>
        <w:suppressAutoHyphens/>
        <w:ind w:firstLine="567"/>
        <w:jc w:val="both"/>
        <w:rPr>
          <w:color w:val="000000"/>
        </w:rPr>
      </w:pPr>
      <w:r>
        <w:rPr>
          <w:color w:val="000000"/>
        </w:rPr>
        <w:t>3</w:t>
      </w:r>
      <w:r>
        <w:rPr>
          <w:color w:val="000000"/>
        </w:rPr>
        <w:t>. Išdėstau 18 punktą taip:</w:t>
      </w:r>
    </w:p>
    <w:p>
      <w:pPr>
        <w:widowControl w:val="0"/>
        <w:suppressAutoHyphens/>
        <w:ind w:firstLine="567"/>
        <w:jc w:val="both"/>
        <w:rPr>
          <w:color w:val="000000"/>
        </w:rPr>
      </w:pPr>
      <w:r>
        <w:rPr>
          <w:color w:val="000000"/>
        </w:rPr>
        <w:t>„</w:t>
      </w:r>
      <w:r>
        <w:rPr>
          <w:color w:val="000000"/>
        </w:rPr>
        <w:t>18</w:t>
      </w:r>
      <w:r>
        <w:rPr>
          <w:color w:val="000000"/>
        </w:rPr>
        <w:t>. Turto pardavimo iš varžytynių aktą antstolis surašo praėjus dvidešimčiai dienų nuo visos kainos už varžytynėse nupirktą turtą sumokėjimo dienos. Jeigu CPK 704 straipsnyje nustatyta tvarka turtas parduodamas skolininko pasiūlytam pirkėjui, turto pardavimo skolininko pasiūlytam pirkėjui aktas surašomas praėjus dvidešimčiai dienų nuo antstolio patvarkymo atšaukti varžytynes surašymo dienos.</w:t>
      </w:r>
    </w:p>
    <w:p>
      <w:pPr>
        <w:widowControl w:val="0"/>
        <w:suppressAutoHyphens/>
        <w:ind w:firstLine="567"/>
        <w:jc w:val="both"/>
        <w:rPr>
          <w:color w:val="000000"/>
        </w:rPr>
      </w:pPr>
      <w:r>
        <w:rPr>
          <w:color w:val="000000"/>
        </w:rPr>
        <w:br w:type="page"/>
        <w:t>Jeigu varžytynes paskelbus neįvykusiomis išieškotojas sutinka paimti neparduotą iš varžytynių turtą, turto perdavimo išieškotojui aktas surašomas praėjus dvidešimčiai dienų nuo išieškotojo sutikimo paimti turtą gavimo antstolio kontoroje dienos, o tais atvejais, kai išieškotojas privalo sumokėti perduodamo turto kainos ir išieškotojo daliai tenkančios lėšų sumos skirtumą, – praėjus dvidešimčiai dienų nuo visos skirtumo sumos įmokėjimo į antstolio depozitinę sąskaitą dienos.“</w:t>
      </w:r>
    </w:p>
    <w:p>
      <w:pPr>
        <w:widowControl w:val="0"/>
        <w:suppressAutoHyphens/>
        <w:ind w:firstLine="567"/>
        <w:jc w:val="both"/>
        <w:rPr>
          <w:color w:val="000000"/>
        </w:rPr>
      </w:pPr>
      <w:r>
        <w:rPr>
          <w:color w:val="000000"/>
        </w:rPr>
        <w:t>4</w:t>
      </w:r>
      <w:r>
        <w:rPr>
          <w:color w:val="000000"/>
        </w:rPr>
        <w:t>. Pripažįstu netekusiu galios 91 punktą.</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Teisingumo ministras</w:t>
        <w:tab/>
        <w:t>Remigijus Šimašius</w:t>
      </w:r>
    </w:p>
    <w:p>
      <w:pPr>
        <w:widowControl w:val="0"/>
        <w:suppressAutoHyphens/>
        <w:rPr>
          <w:caps/>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Lietuvos Respublikos finansų ministrė</w:t>
      </w:r>
    </w:p>
    <w:p>
      <w:pPr>
        <w:widowControl w:val="0"/>
        <w:suppressAutoHyphens/>
        <w:jc w:val="both"/>
        <w:rPr>
          <w:color w:val="000000"/>
        </w:rPr>
      </w:pPr>
      <w:r>
        <w:rPr>
          <w:color w:val="000000"/>
        </w:rPr>
        <w:t>Ingrida Šimonytė</w:t>
      </w:r>
    </w:p>
    <w:p/>
    <w:sectPr>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2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D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3184</Characters>
  <Application>Microsoft Office Word</Application>
  <DocSecurity>4</DocSecurity>
  <Lines>64</Lines>
  <Paragraphs>25</Paragraphs>
  <ScaleCrop>false</ScaleCrop>
  <Company/>
  <LinksUpToDate>false</LinksUpToDate>
  <CharactersWithSpaces>3608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2015-09-12T02:26:00Z</dcterms:created>
  <dc:creator>Rima</dc:creator>
  <lastModifiedBy>Adlib User</lastModifiedBy>
  <dcterms:modified xsi:type="dcterms:W3CDTF">2015-09-12T02:26:00Z</dcterms:modified>
  <revision>2</revision>
  <dc:title>LIETUVOS RESPUBLIKOS TEISINGUMO MINISTRO</dc:title>
</coreProperties>
</file>