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>LIETUVOS RESPUBLIKOS VALSTYBINIO SOCIALINIO DRAUDIMO ĮSTATYMO 2, 3, 4, 5, 7, 8, 9, 29, 31 STRAIPSNIŲ PAKEITIMO IR PAPILDYMO ĮSTATYMO 10 STRAIPSNIO PAKEITIMO ĮSTATYMAS</w:t>
      </w:r>
    </w:p>
    <w:p>
      <w:pPr>
        <w:keepLines/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22 d. Nr. XI-931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2008, Nr. </w:t>
      </w:r>
      <w:fldSimple w:instr="HYPERLINK https://www.e-tar.lt/portal/lt/legalAct/TAR.314380534F95 \t _blank">
        <w:r>
          <w:rPr>
            <w:color w:val="0000FF" w:themeColor="hyperlink"/>
            <w:u w:val="single"/>
          </w:rPr>
          <w:t>149-6019</w:t>
        </w:r>
      </w:fldSimple>
      <w:r>
        <w:rPr>
          <w:color w:val="000000"/>
        </w:rPr>
        <w:t xml:space="preserve">; 2009, Nr. </w:t>
      </w:r>
      <w:fldSimple w:instr="HYPERLINK https://www.e-tar.lt/portal/lt/legalAct/TAR.4339BCDF449E \t _blank">
        <w:r>
          <w:rPr>
            <w:color w:val="0000FF" w:themeColor="hyperlink"/>
            <w:u w:val="single"/>
          </w:rPr>
          <w:t>25-973</w:t>
        </w:r>
      </w:fldSimple>
      <w:r>
        <w:rPr>
          <w:color w:val="000000"/>
        </w:rPr>
        <w:t xml:space="preserve">, Nr. </w:t>
      </w:r>
      <w:fldSimple w:instr="HYPERLINK https://www.e-tar.lt/portal/lt/legalAct/TAR.795FDA155CAF \t _blank">
        <w:r>
          <w:rPr>
            <w:color w:val="0000FF" w:themeColor="hyperlink"/>
            <w:u w:val="single"/>
          </w:rPr>
          <w:t>93-3982</w:t>
        </w:r>
      </w:fldSimple>
      <w:r>
        <w:rPr>
          <w:color w:val="000000"/>
        </w:rPr>
        <w:t xml:space="preserve">, Nr. </w:t>
      </w:r>
      <w:fldSimple w:instr="HYPERLINK https://www.e-tar.lt/portal/lt/legalAct/TAR.B3BE375A95FE \t _blank">
        <w:r>
          <w:rPr>
            <w:color w:val="0000FF" w:themeColor="hyperlink"/>
            <w:u w:val="single"/>
          </w:rPr>
          <w:t>151-6774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10 straipsnio 6 dalies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10 straipsnio 6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Ūkininkų ir jų partnerių, asmenų, gavusių pajamas iš sporto ar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atlikėjo veiklos iš draudėjo, su kuriuo jie yra susiję darbo santykiais arba jų esmę atitinkančiais santykiais, taip pat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Valstybinio socialinio draudimo įstatymo 4 straipsnio 1 dalyje nurodytų asmenų, gavusių pajamas pagal autorines sutartis,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socialinio draudimo įmokų tarifas 2010 metais didinamas dvigubai, negu buvo numatyta 2009 metams, o nuo 2011 m. sausio 1 d. socialinio draudimo įmokos mokamos pagal bendrąjį tarifą, nustatytą Valstybinio socialinio draudimo fondo biudžeto rodiklių patvirtinimo įstatyme.“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taikymas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Šio įstatymo nuostatos taikomos asmenų, kurie pagal Valstybinio socialinio draudimo įstatymo 4 straipsnio 1 dalies nuostatas privalomai draudžiami visomis socialinio draudimo rūšimis, mokamiems socialinio draudimo įmokų tarifams.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1168</Characters>
  <Application>Microsoft Office Word</Application>
  <DocSecurity>4</DocSecurity>
  <Lines>30</Lines>
  <Paragraphs>13</Paragraphs>
  <ScaleCrop>false</ScaleCrop>
  <Company/>
  <LinksUpToDate>false</LinksUpToDate>
  <CharactersWithSpaces>1338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2015-09-30T00:39:00Z</dcterms:created>
  <dc:creator>Rima</dc:creator>
  <lastModifiedBy>Adlib User</lastModifiedBy>
  <dcterms:modified xsi:type="dcterms:W3CDTF">2015-09-30T00:39:00Z</dcterms:modified>
  <revision>2</revision>
  <dc:title>LIETUVOS RESPUBLIKOS VALSTYBINIO SOCIALINIO DRAUDIMO ĮSTATYMO 2, 3, 4, 5, 7, 8, 9, 29, 31 STRAIPSNIŲ PAKEITIMO IR PAPILDYMO ĮSTATYMO 10 STRAIPSNIO PAKEITIMO ĮSTATYMAS</dc:title>
</coreProperties>
</file>