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11C72" w14:textId="77777777" w:rsidR="004364ED" w:rsidRDefault="004364ED">
      <w:pPr>
        <w:tabs>
          <w:tab w:val="center" w:pos="4153"/>
          <w:tab w:val="right" w:pos="8306"/>
        </w:tabs>
        <w:rPr>
          <w:lang w:val="en-GB"/>
        </w:rPr>
      </w:pPr>
    </w:p>
    <w:p w14:paraId="00111C73" w14:textId="77777777" w:rsidR="004364ED" w:rsidRDefault="004C3C03">
      <w:pPr>
        <w:keepNext/>
        <w:jc w:val="center"/>
        <w:rPr>
          <w:caps/>
        </w:rPr>
      </w:pPr>
      <w:r>
        <w:rPr>
          <w:caps/>
          <w:lang w:val="en-US"/>
        </w:rPr>
        <w:pict w14:anchorId="00111CB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caps/>
        </w:rPr>
        <w:t>Lietuvos Respublikos Vyriausybė</w:t>
      </w:r>
    </w:p>
    <w:p w14:paraId="00111C74" w14:textId="77777777" w:rsidR="004364ED" w:rsidRDefault="004C3C03">
      <w:pPr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00111C75" w14:textId="77777777" w:rsidR="004364ED" w:rsidRDefault="004364ED">
      <w:pPr>
        <w:jc w:val="center"/>
        <w:rPr>
          <w:caps/>
        </w:rPr>
      </w:pPr>
    </w:p>
    <w:p w14:paraId="00111C76" w14:textId="77777777" w:rsidR="004364ED" w:rsidRDefault="004C3C03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>
        <w:rPr>
          <w:b/>
          <w:bCs/>
        </w:rPr>
        <w:t>LIETUVOS RESPUBLIKOS VYRIAUSYBĖS 2006 M. SAUSIO 19 D. NUTARIMO NR. 61 „DĖL BANKO GARANTIJOS, LAIDAVIMO SUTARTIES BEI KITŲ SUTARČIŲ, ĮRODANČIŲ, KAD ELEKTROS IR ELEKTRONINĖS ĮR</w:t>
      </w:r>
      <w:r>
        <w:rPr>
          <w:b/>
          <w:bCs/>
        </w:rPr>
        <w:t>ANGOS ATLIEKŲ TVARKYMAS BUS FINANSUOJAMAS, SUDARYMO IR VYKDYMO, LĖŠŲ, GAUTŲ PAGAL ŠIAS SUTARTIS, KAUPIMO, NAUDOJIMO IR GRĄŽINIMO TAISYKLIŲ IR ELEKTROS IR ELEKTRONINĖS ĮRANGOS ATLIEKŲ TVARKYMO UŽDUOČIŲ PATVIRTINIMO“ PAKEITIMO</w:t>
      </w:r>
    </w:p>
    <w:p w14:paraId="00111C77" w14:textId="77777777" w:rsidR="004364ED" w:rsidRDefault="004364ED"/>
    <w:p w14:paraId="00111C78" w14:textId="77777777" w:rsidR="004364ED" w:rsidRDefault="004C3C03">
      <w:pPr>
        <w:jc w:val="center"/>
      </w:pPr>
      <w:r>
        <w:t>2008 m. gruodžio 3 d. Nr. 1293</w:t>
      </w:r>
    </w:p>
    <w:p w14:paraId="00111C79" w14:textId="77777777" w:rsidR="004364ED" w:rsidRDefault="004C3C03">
      <w:pPr>
        <w:jc w:val="center"/>
      </w:pPr>
      <w:r>
        <w:t>Vilnius</w:t>
      </w:r>
    </w:p>
    <w:p w14:paraId="00111C7A" w14:textId="77777777" w:rsidR="004364ED" w:rsidRDefault="004364ED">
      <w:pPr>
        <w:jc w:val="center"/>
      </w:pPr>
    </w:p>
    <w:p w14:paraId="00111C7B" w14:textId="77777777" w:rsidR="004364ED" w:rsidRDefault="004C3C03">
      <w:pPr>
        <w:ind w:firstLine="567"/>
        <w:jc w:val="both"/>
      </w:pPr>
      <w:r>
        <w:t>Lietuvos Respublikos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t>a</w:t>
      </w:r>
      <w:r>
        <w:rPr>
          <w:spacing w:val="100"/>
        </w:rPr>
        <w:t>:</w:t>
      </w:r>
    </w:p>
    <w:p w14:paraId="00111C7C" w14:textId="77777777" w:rsidR="004364ED" w:rsidRDefault="004C3C03">
      <w:pPr>
        <w:ind w:firstLine="567"/>
        <w:jc w:val="both"/>
      </w:pPr>
      <w:r>
        <w:t>Pakeisti Lietuvos Respublikos Vyriausybės 2006 m. sausio 19 d. nutarimą Nr. 61 „Dėl Banko garantijos, laidavimo sutarties bei kitų sutarčių, įrodančių, kad elektros ir elektroninės įrangos atliekų tvarky</w:t>
      </w:r>
      <w:r>
        <w:t xml:space="preserve">mas bus finansuojamas, sudarymo ir vykdymo, lėšų, gautų pagal šias sutartis, kaupimo, naudojimo ir grąžinimo taisyklių ir elektros ir elektroninės įrangos atliekų tvarkymo užduočių patvirtinimo“ (Žin., 2006, Nr. </w:t>
      </w:r>
      <w:hyperlink r:id="rId10" w:tgtFrame="_blank" w:history="1">
        <w:r>
          <w:rPr>
            <w:color w:val="0000FF" w:themeColor="hyperlink"/>
            <w:u w:val="single"/>
          </w:rPr>
          <w:t>9-340</w:t>
        </w:r>
      </w:hyperlink>
      <w:r>
        <w:t xml:space="preserve">; 2007, Nr. </w:t>
      </w:r>
      <w:hyperlink r:id="rId11" w:tgtFrame="_blank" w:history="1">
        <w:r>
          <w:rPr>
            <w:color w:val="0000FF" w:themeColor="hyperlink"/>
            <w:u w:val="single"/>
          </w:rPr>
          <w:t>114-4647</w:t>
        </w:r>
      </w:hyperlink>
      <w:r>
        <w:t>):</w:t>
      </w:r>
    </w:p>
    <w:p w14:paraId="00111C7D" w14:textId="77777777" w:rsidR="004364ED" w:rsidRDefault="004C3C03">
      <w:pPr>
        <w:ind w:firstLine="567"/>
        <w:jc w:val="both"/>
      </w:pPr>
      <w:r>
        <w:t>1</w:t>
      </w:r>
      <w:r>
        <w:t>. Išdėstyti 1.2 punktą taip:</w:t>
      </w:r>
    </w:p>
    <w:p w14:paraId="00111C7E" w14:textId="77777777" w:rsidR="004364ED" w:rsidRDefault="004C3C03">
      <w:pPr>
        <w:ind w:firstLine="567"/>
        <w:jc w:val="both"/>
      </w:pPr>
      <w:r>
        <w:t>„</w:t>
      </w:r>
      <w:r>
        <w:t>1.2</w:t>
      </w:r>
      <w:r>
        <w:t>. elektros ir elektroninės įrangos atliekų tvark</w:t>
      </w:r>
      <w:r>
        <w:t>ymo 2006–2009 metų užduotis.“</w:t>
      </w:r>
    </w:p>
    <w:p w14:paraId="00111C7F" w14:textId="77777777" w:rsidR="004364ED" w:rsidRDefault="004C3C03">
      <w:pPr>
        <w:ind w:firstLine="567"/>
        <w:jc w:val="both"/>
      </w:pPr>
      <w:r>
        <w:t>2</w:t>
      </w:r>
      <w:r>
        <w:t>. Nurodytuoju nutarimu patvirtintose Banko garantijos, laidavimo sutarties bei kitų sutarčių, įrodančių, kad elektros ir elektroninės įrangos atliekų tvarkymas bus finansuojamas, sudarymo ir vykdymo, lėšų, gautų pagal</w:t>
      </w:r>
      <w:r>
        <w:t xml:space="preserve"> šias sutartis, kaupimo, naudojimo ir grąžinimo taisyklėse:</w:t>
      </w:r>
    </w:p>
    <w:p w14:paraId="00111C80" w14:textId="77777777" w:rsidR="004364ED" w:rsidRDefault="004C3C03">
      <w:pPr>
        <w:ind w:firstLine="567"/>
        <w:jc w:val="both"/>
      </w:pPr>
      <w:r>
        <w:t>2.1</w:t>
      </w:r>
      <w:r>
        <w:t>. Išdėstyti 3 punkto pirmąją pastraipą taip:</w:t>
      </w:r>
    </w:p>
    <w:p w14:paraId="00111C81" w14:textId="77777777" w:rsidR="004364ED" w:rsidRDefault="004C3C03">
      <w:pPr>
        <w:ind w:firstLine="567"/>
        <w:jc w:val="both"/>
      </w:pPr>
      <w:r>
        <w:t>„</w:t>
      </w:r>
      <w:r>
        <w:t>3</w:t>
      </w:r>
      <w:r>
        <w:t>. Elektros ir elektroninės įrangos gamintojas ar importuotojas, registruodamasis Aplinkos ministerijos nustatyta tvarka, turi Lietuvos Respubl</w:t>
      </w:r>
      <w:r>
        <w:t>ikos aplinkos ministerijos regiono aplinkos apsaugos departamentui (toliau vadinama – Aplinkos ministerijos regiono aplinkos apsaugos departamentas), kurio kontroliuojamoje teritorijoje yra registruota jo buveinė, pateikti vieną iš šių dokumentų, įrodančių</w:t>
      </w:r>
      <w:r>
        <w:t>, kad jų elektros ir elektroninės įrangos atliekų tvarkymas bus finansuojamas:“.</w:t>
      </w:r>
    </w:p>
    <w:p w14:paraId="00111C82" w14:textId="77777777" w:rsidR="004364ED" w:rsidRDefault="004C3C03">
      <w:pPr>
        <w:keepNext/>
        <w:widowControl w:val="0"/>
        <w:suppressLineNumbers/>
        <w:suppressAutoHyphens/>
        <w:ind w:firstLine="567"/>
        <w:jc w:val="both"/>
      </w:pPr>
      <w:r>
        <w:t>2.2</w:t>
      </w:r>
      <w:r>
        <w:t>. Išdėstyti 12 punktą taip:</w:t>
      </w:r>
    </w:p>
    <w:p w14:paraId="00111C83" w14:textId="77777777" w:rsidR="004364ED" w:rsidRDefault="004C3C03">
      <w:pPr>
        <w:ind w:firstLine="567"/>
        <w:jc w:val="both"/>
      </w:pPr>
      <w:r>
        <w:t>„</w:t>
      </w:r>
      <w:r>
        <w:t>12</w:t>
      </w:r>
      <w:r>
        <w:t>. Kai gamintojas ar importuotojas nepateikia šių Taisyklių 10 punkte reikalaujamų dokumentų ar pateikti dokumentai įrodo tik dalies</w:t>
      </w:r>
      <w:r>
        <w:t xml:space="preserve"> praėjusiais kalendoriniais metais gamintojo ar importuotojo nurodytos planuotos išleisti į Lietuvos Respublikos rinką elektros ir elektroninės įrangos atliekų tvarkymo užduoties vykdymą,</w:t>
      </w:r>
      <w:r>
        <w:rPr>
          <w:b/>
          <w:bCs/>
        </w:rPr>
        <w:t xml:space="preserve"> </w:t>
      </w:r>
      <w:r>
        <w:t>Aplinkos ministerijos regiono aplinkos apsaugos departamentas, kurio</w:t>
      </w:r>
      <w:r>
        <w:t xml:space="preserve"> kontroliuojamoje teritorijoje yra registruota gamintojo ar importuotojo buveinė, raštu</w:t>
      </w:r>
      <w:r>
        <w:rPr>
          <w:b/>
          <w:bCs/>
        </w:rPr>
        <w:t xml:space="preserve"> </w:t>
      </w:r>
      <w:r>
        <w:rPr>
          <w:bCs/>
        </w:rPr>
        <w:t xml:space="preserve">per 14 dienų nuo </w:t>
      </w:r>
      <w:r>
        <w:t>nurodytų</w:t>
      </w:r>
      <w:r>
        <w:rPr>
          <w:b/>
          <w:bCs/>
        </w:rPr>
        <w:t xml:space="preserve"> </w:t>
      </w:r>
      <w:r>
        <w:rPr>
          <w:bCs/>
        </w:rPr>
        <w:t>dokumentų pateikimo ar dokumentų pateikimui skirto termino pabaigos</w:t>
      </w:r>
      <w:r>
        <w:rPr>
          <w:b/>
          <w:bCs/>
        </w:rPr>
        <w:t xml:space="preserve"> </w:t>
      </w:r>
      <w:r>
        <w:t xml:space="preserve">kreipiasi į Aplinkos ministeriją, pranešdamas apie tai. Pranešime nurodo </w:t>
      </w:r>
      <w:r>
        <w:rPr>
          <w:bCs/>
        </w:rPr>
        <w:t>k</w:t>
      </w:r>
      <w:r>
        <w:rPr>
          <w:bCs/>
        </w:rPr>
        <w:t>onkretaus gamintojo ar importuotojo faktiškai išleistos į Lietuvos Respublikos rinką elektros ir elektroninės įrangos kiekį (tonomis pagal kategorijas), elektros ir elektroninės įrangos atliekų tvarkymo užduočių dydį (tonomis pagal kategorijas), neįvykdytų</w:t>
      </w:r>
      <w:r>
        <w:rPr>
          <w:bCs/>
        </w:rPr>
        <w:t xml:space="preserve"> elektros ir elektroninės įrangos atliekų tvarkymo užduočių dydį (tonomis pagal kategorijas) ir </w:t>
      </w:r>
      <w:r>
        <w:t>pateikia dokumentą, nurodytą šių Taisyklių 3 punkte,</w:t>
      </w:r>
      <w:r>
        <w:rPr>
          <w:b/>
          <w:bCs/>
        </w:rPr>
        <w:t xml:space="preserve"> </w:t>
      </w:r>
      <w:r>
        <w:rPr>
          <w:bCs/>
        </w:rPr>
        <w:t>taip pat šių Taisyklių 10 punkte nurodytų dokumentų kopijas, jeigu tokie dokumentai buvo pateikti</w:t>
      </w:r>
      <w:r>
        <w:t>.“</w:t>
      </w:r>
    </w:p>
    <w:p w14:paraId="00111C86" w14:textId="15756102" w:rsidR="004364ED" w:rsidRDefault="004C3C03" w:rsidP="004C3C03">
      <w:pPr>
        <w:keepNext/>
        <w:widowControl w:val="0"/>
        <w:suppressLineNumbers/>
        <w:suppressAutoHyphens/>
        <w:ind w:firstLine="567"/>
        <w:jc w:val="both"/>
      </w:pPr>
      <w:r>
        <w:t>3</w:t>
      </w:r>
      <w:r>
        <w:t>. Nurodytuoju nutarimu patvirtintas elektros ir elektroninės įrangos atliekų tvarkymo 2006–2008 metų užduotis išdėstyti nauja redakcija (pridedama).</w:t>
      </w:r>
    </w:p>
    <w:p w14:paraId="430FAD43" w14:textId="174A8F78" w:rsidR="004C3C03" w:rsidRDefault="004C3C03">
      <w:pPr>
        <w:tabs>
          <w:tab w:val="right" w:pos="9071"/>
        </w:tabs>
      </w:pPr>
    </w:p>
    <w:p w14:paraId="25EB2359" w14:textId="77777777" w:rsidR="004C3C03" w:rsidRDefault="004C3C03">
      <w:pPr>
        <w:tabs>
          <w:tab w:val="right" w:pos="9071"/>
        </w:tabs>
      </w:pPr>
    </w:p>
    <w:p w14:paraId="48B7D5DD" w14:textId="77777777" w:rsidR="004C3C03" w:rsidRDefault="004C3C03">
      <w:pPr>
        <w:tabs>
          <w:tab w:val="right" w:pos="9071"/>
        </w:tabs>
      </w:pPr>
    </w:p>
    <w:p w14:paraId="00111C87" w14:textId="4B76C187" w:rsidR="004364ED" w:rsidRDefault="004C3C03">
      <w:pPr>
        <w:tabs>
          <w:tab w:val="right" w:pos="9071"/>
        </w:tabs>
      </w:pPr>
      <w:r>
        <w:t>L. E. MINISTRO PIRMININKO PAREIGAS</w:t>
      </w:r>
      <w:r>
        <w:tab/>
        <w:t>GEDIMINAS KIRKILAS</w:t>
      </w:r>
    </w:p>
    <w:p w14:paraId="00111C88" w14:textId="77777777" w:rsidR="004364ED" w:rsidRDefault="004364ED"/>
    <w:p w14:paraId="4F945288" w14:textId="77777777" w:rsidR="004C3C03" w:rsidRDefault="004C3C03"/>
    <w:p w14:paraId="082EFDAE" w14:textId="77777777" w:rsidR="004C3C03" w:rsidRDefault="004C3C03"/>
    <w:p w14:paraId="00111C8E" w14:textId="5088844D" w:rsidR="004364ED" w:rsidRDefault="004C3C03" w:rsidP="004C3C03">
      <w:pPr>
        <w:tabs>
          <w:tab w:val="right" w:pos="9071"/>
        </w:tabs>
      </w:pPr>
      <w:r>
        <w:t>L. E. APLINKOS MINISTRO PAREIGAS</w:t>
      </w:r>
      <w:r>
        <w:tab/>
        <w:t>ARTŪRAS PAU</w:t>
      </w:r>
      <w:r>
        <w:t>LAUSKAS</w:t>
      </w:r>
    </w:p>
    <w:p w14:paraId="2BB45234" w14:textId="77777777" w:rsidR="004C3C03" w:rsidRDefault="004C3C03">
      <w:pPr>
        <w:ind w:firstLine="5102"/>
      </w:pPr>
    </w:p>
    <w:p w14:paraId="1C78C326" w14:textId="77777777" w:rsidR="004C3C03" w:rsidRDefault="004C3C03">
      <w:r>
        <w:br w:type="page"/>
      </w:r>
    </w:p>
    <w:p w14:paraId="00111C8F" w14:textId="3FC24FB6" w:rsidR="004364ED" w:rsidRDefault="004C3C03">
      <w:pPr>
        <w:ind w:firstLine="5102"/>
        <w:rPr>
          <w:caps/>
        </w:rPr>
      </w:pPr>
      <w:r>
        <w:rPr>
          <w:caps/>
        </w:rPr>
        <w:lastRenderedPageBreak/>
        <w:t>Patvirtinta</w:t>
      </w:r>
    </w:p>
    <w:p w14:paraId="00111C90" w14:textId="77777777" w:rsidR="004364ED" w:rsidRDefault="004C3C03">
      <w:pPr>
        <w:ind w:firstLine="5102"/>
      </w:pPr>
      <w:r>
        <w:t xml:space="preserve">Lietuvos Respublikos Vyriausybės </w:t>
      </w:r>
    </w:p>
    <w:p w14:paraId="00111C91" w14:textId="77777777" w:rsidR="004364ED" w:rsidRDefault="004C3C03">
      <w:pPr>
        <w:ind w:firstLine="5102"/>
      </w:pPr>
      <w:r>
        <w:t xml:space="preserve">2006 m. sausio 19 d. nutarimu Nr. 61 </w:t>
      </w:r>
    </w:p>
    <w:p w14:paraId="00111C92" w14:textId="77777777" w:rsidR="004364ED" w:rsidRDefault="004C3C03">
      <w:pPr>
        <w:ind w:firstLine="5102"/>
      </w:pPr>
      <w:r>
        <w:t xml:space="preserve">(Lietuvos Respublikos Vyriausybės </w:t>
      </w:r>
    </w:p>
    <w:p w14:paraId="00111C93" w14:textId="77777777" w:rsidR="004364ED" w:rsidRDefault="004C3C03">
      <w:pPr>
        <w:ind w:firstLine="5102"/>
      </w:pPr>
      <w:r>
        <w:t xml:space="preserve">2008 m. gruodžio 3 d. </w:t>
      </w:r>
    </w:p>
    <w:p w14:paraId="00111C94" w14:textId="77777777" w:rsidR="004364ED" w:rsidRDefault="004C3C03">
      <w:pPr>
        <w:ind w:firstLine="5102"/>
      </w:pPr>
      <w:r>
        <w:t xml:space="preserve">nutarimo Nr. 1293 </w:t>
      </w:r>
      <w:r>
        <w:rPr>
          <w:bCs/>
        </w:rPr>
        <w:t>redakcija)</w:t>
      </w:r>
    </w:p>
    <w:p w14:paraId="00111C95" w14:textId="77777777" w:rsidR="004364ED" w:rsidRDefault="004364ED">
      <w:pPr>
        <w:jc w:val="center"/>
      </w:pPr>
    </w:p>
    <w:p w14:paraId="00111C96" w14:textId="77777777" w:rsidR="004364ED" w:rsidRDefault="004C3C03">
      <w:pPr>
        <w:jc w:val="center"/>
        <w:rPr>
          <w:b/>
          <w:bCs/>
        </w:rPr>
      </w:pPr>
      <w:r>
        <w:rPr>
          <w:b/>
          <w:bCs/>
        </w:rPr>
        <w:t xml:space="preserve">ELEKTROS IR </w:t>
      </w:r>
      <w:r>
        <w:rPr>
          <w:b/>
          <w:bCs/>
        </w:rPr>
        <w:t>ELEKTRONINĖS ĮRANGOS ATLIEKŲ TVARKYMO</w:t>
      </w:r>
    </w:p>
    <w:p w14:paraId="00111C97" w14:textId="77777777" w:rsidR="004364ED" w:rsidRDefault="004C3C03">
      <w:pPr>
        <w:jc w:val="center"/>
        <w:rPr>
          <w:b/>
          <w:bCs/>
        </w:rPr>
      </w:pPr>
      <w:r>
        <w:rPr>
          <w:b/>
          <w:bCs/>
        </w:rPr>
        <w:t>2006–2009 METŲ UŽDUOTYS</w:t>
      </w:r>
    </w:p>
    <w:p w14:paraId="00111C98" w14:textId="77777777" w:rsidR="004364ED" w:rsidRDefault="004364ED">
      <w:pPr>
        <w:ind w:firstLine="567"/>
        <w:jc w:val="center"/>
        <w:rPr>
          <w:b/>
          <w:bCs/>
        </w:rPr>
      </w:pPr>
    </w:p>
    <w:tbl>
      <w:tblPr>
        <w:tblW w:w="0" w:type="auto"/>
        <w:tblInd w:w="-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1"/>
        <w:gridCol w:w="782"/>
        <w:gridCol w:w="4002"/>
        <w:gridCol w:w="4137"/>
      </w:tblGrid>
      <w:tr w:rsidR="004364ED" w14:paraId="00111C9D" w14:textId="77777777">
        <w:trPr>
          <w:cantSplit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111C99" w14:textId="77777777" w:rsidR="004364ED" w:rsidRDefault="004C3C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Eil. Nr.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111C9A" w14:textId="77777777" w:rsidR="004364ED" w:rsidRDefault="004C3C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Metai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111C9B" w14:textId="77777777" w:rsidR="004364ED" w:rsidRDefault="004C3C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Elektros ir elektroninės įrangos atliekų tvarkymo būdas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11C9C" w14:textId="77777777" w:rsidR="004364ED" w:rsidRDefault="004C3C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Užduotis (masės procentais), atsižvelgiant į elektros ir elektroninės įrangos kiekį, išleistą į Lietuvos Respublikos rin</w:t>
            </w:r>
            <w:r>
              <w:rPr>
                <w:sz w:val="22"/>
              </w:rPr>
              <w:t>ką</w:t>
            </w:r>
          </w:p>
        </w:tc>
      </w:tr>
      <w:tr w:rsidR="004364ED" w14:paraId="00111CA2" w14:textId="77777777">
        <w:trPr>
          <w:cantSplit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</w:tcPr>
          <w:p w14:paraId="00111C9E" w14:textId="77777777" w:rsidR="004364ED" w:rsidRDefault="004C3C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14:paraId="00111C9F" w14:textId="77777777" w:rsidR="004364ED" w:rsidRDefault="004C3C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2006</w:t>
            </w:r>
          </w:p>
        </w:tc>
        <w:tc>
          <w:tcPr>
            <w:tcW w:w="4002" w:type="dxa"/>
            <w:tcBorders>
              <w:left w:val="single" w:sz="4" w:space="0" w:color="000000"/>
              <w:bottom w:val="single" w:sz="4" w:space="0" w:color="000000"/>
            </w:tcBorders>
          </w:tcPr>
          <w:p w14:paraId="00111CA0" w14:textId="77777777" w:rsidR="004364ED" w:rsidRDefault="004C3C03">
            <w:pPr>
              <w:rPr>
                <w:sz w:val="22"/>
              </w:rPr>
            </w:pPr>
            <w:r>
              <w:rPr>
                <w:sz w:val="22"/>
              </w:rPr>
              <w:t>surinkti ir perdirbti ar kitaip naudoti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1CA1" w14:textId="77777777" w:rsidR="004364ED" w:rsidRDefault="004C3C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4364ED" w14:paraId="00111CA7" w14:textId="77777777">
        <w:trPr>
          <w:cantSplit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</w:tcPr>
          <w:p w14:paraId="00111CA3" w14:textId="77777777" w:rsidR="004364ED" w:rsidRDefault="004C3C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14:paraId="00111CA4" w14:textId="77777777" w:rsidR="004364ED" w:rsidRDefault="004C3C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2007</w:t>
            </w:r>
          </w:p>
        </w:tc>
        <w:tc>
          <w:tcPr>
            <w:tcW w:w="4002" w:type="dxa"/>
            <w:tcBorders>
              <w:left w:val="single" w:sz="4" w:space="0" w:color="000000"/>
              <w:bottom w:val="single" w:sz="4" w:space="0" w:color="000000"/>
            </w:tcBorders>
          </w:tcPr>
          <w:p w14:paraId="00111CA5" w14:textId="77777777" w:rsidR="004364ED" w:rsidRDefault="004C3C03">
            <w:pPr>
              <w:rPr>
                <w:sz w:val="22"/>
              </w:rPr>
            </w:pPr>
            <w:r>
              <w:rPr>
                <w:sz w:val="22"/>
              </w:rPr>
              <w:t>surinkti ir perdirbti ar kitaip naudoti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1CA6" w14:textId="77777777" w:rsidR="004364ED" w:rsidRDefault="004C3C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4364ED" w14:paraId="00111CAC" w14:textId="77777777">
        <w:trPr>
          <w:cantSplit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</w:tcPr>
          <w:p w14:paraId="00111CA8" w14:textId="77777777" w:rsidR="004364ED" w:rsidRDefault="004C3C0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3.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14:paraId="00111CA9" w14:textId="77777777" w:rsidR="004364ED" w:rsidRDefault="004C3C0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2008</w:t>
            </w:r>
          </w:p>
        </w:tc>
        <w:tc>
          <w:tcPr>
            <w:tcW w:w="4002" w:type="dxa"/>
            <w:tcBorders>
              <w:left w:val="single" w:sz="4" w:space="0" w:color="000000"/>
              <w:bottom w:val="single" w:sz="4" w:space="0" w:color="000000"/>
            </w:tcBorders>
          </w:tcPr>
          <w:p w14:paraId="00111CAA" w14:textId="77777777" w:rsidR="004364ED" w:rsidRDefault="004C3C0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surinkti ir perdirbti ar kitaip naudoti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1CAB" w14:textId="77777777" w:rsidR="004364ED" w:rsidRDefault="004C3C0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</w:t>
            </w:r>
          </w:p>
        </w:tc>
      </w:tr>
      <w:tr w:rsidR="004364ED" w14:paraId="00111CB1" w14:textId="77777777">
        <w:trPr>
          <w:cantSplit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</w:tcPr>
          <w:p w14:paraId="00111CAD" w14:textId="77777777" w:rsidR="004364ED" w:rsidRDefault="004C3C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14:paraId="00111CAE" w14:textId="77777777" w:rsidR="004364ED" w:rsidRDefault="004C3C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2009</w:t>
            </w:r>
          </w:p>
        </w:tc>
        <w:tc>
          <w:tcPr>
            <w:tcW w:w="4002" w:type="dxa"/>
            <w:tcBorders>
              <w:left w:val="single" w:sz="4" w:space="0" w:color="000000"/>
              <w:bottom w:val="single" w:sz="4" w:space="0" w:color="000000"/>
            </w:tcBorders>
          </w:tcPr>
          <w:p w14:paraId="00111CAF" w14:textId="77777777" w:rsidR="004364ED" w:rsidRDefault="004C3C03">
            <w:pPr>
              <w:rPr>
                <w:sz w:val="22"/>
              </w:rPr>
            </w:pPr>
            <w:r>
              <w:rPr>
                <w:sz w:val="22"/>
              </w:rPr>
              <w:t>surinkti ir perdirbti ar kitaip naudoti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1CB0" w14:textId="77777777" w:rsidR="004364ED" w:rsidRDefault="004C3C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</w:tr>
    </w:tbl>
    <w:p w14:paraId="00111CB2" w14:textId="77777777" w:rsidR="004364ED" w:rsidRDefault="004364ED">
      <w:pPr>
        <w:jc w:val="both"/>
      </w:pPr>
    </w:p>
    <w:p w14:paraId="00111CB4" w14:textId="5FE34DF6" w:rsidR="004364ED" w:rsidRDefault="004C3C03" w:rsidP="004C3C03">
      <w:pPr>
        <w:jc w:val="center"/>
      </w:pPr>
      <w:r>
        <w:t>_________________</w:t>
      </w:r>
    </w:p>
    <w:bookmarkStart w:id="0" w:name="_GoBack" w:displacedByCustomXml="next"/>
    <w:bookmarkEnd w:id="0" w:displacedByCustomXml="next"/>
    <w:sectPr w:rsidR="004364ED">
      <w:headerReference w:type="first" r:id="rId12"/>
      <w:pgSz w:w="11906" w:h="16838" w:code="9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11CB8" w14:textId="77777777" w:rsidR="004364ED" w:rsidRDefault="004C3C03">
      <w:r>
        <w:separator/>
      </w:r>
    </w:p>
  </w:endnote>
  <w:endnote w:type="continuationSeparator" w:id="0">
    <w:p w14:paraId="00111CB9" w14:textId="77777777" w:rsidR="004364ED" w:rsidRDefault="004C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11CB6" w14:textId="77777777" w:rsidR="004364ED" w:rsidRDefault="004C3C03">
      <w:r>
        <w:separator/>
      </w:r>
    </w:p>
  </w:footnote>
  <w:footnote w:type="continuationSeparator" w:id="0">
    <w:p w14:paraId="00111CB7" w14:textId="77777777" w:rsidR="004364ED" w:rsidRDefault="004C3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11CC1" w14:textId="77777777" w:rsidR="004364ED" w:rsidRDefault="004364ED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07"/>
    <w:rsid w:val="004364ED"/>
    <w:rsid w:val="004C3C03"/>
    <w:rsid w:val="00E4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111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C3C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C3C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egalAct.html?documentId=TAR.6AFB48E2BB07"/>
  <Relationship Id="rId11" Type="http://schemas.openxmlformats.org/officeDocument/2006/relationships/hyperlink" TargetMode="External" Target="https://www.e-tar.lt/portal/legalAct.html?documentId=TAR.4648229EF0A3"/>
  <Relationship Id="rId12" Type="http://schemas.openxmlformats.org/officeDocument/2006/relationships/header" Target="header1.xml"/>
  <Relationship Id="rId13" Type="http://schemas.openxmlformats.org/officeDocument/2006/relationships/fontTable" Target="fontTable.xml"/>
  <Relationship Id="rId14" Type="http://schemas.openxmlformats.org/officeDocument/2006/relationships/glossaryDocument" Target="glossary/document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06"/>
    <w:rsid w:val="00A6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60E0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60E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2703</Words>
  <Characters>1541</Characters>
  <Application>Microsoft Office Word</Application>
  <DocSecurity>0</DocSecurity>
  <Lines>12</Lines>
  <Paragraphs>8</Paragraphs>
  <ScaleCrop>false</ScaleCrop>
  <Company>LRVK</Company>
  <LinksUpToDate>false</LinksUpToDate>
  <CharactersWithSpaces>4236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2015-01-07T13:41:00Z</dcterms:created>
  <dc:creator>lrvk</dc:creator>
  <lastModifiedBy>BODIN Aušra</lastModifiedBy>
  <lastPrinted>2008-12-09T06:20:00Z</lastPrinted>
  <dcterms:modified xsi:type="dcterms:W3CDTF">2015-01-07T14:16:00Z</dcterms:modified>
  <revision>3</revision>
</coreProperties>
</file>