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49BD9" w14:textId="77777777" w:rsidR="009B59E8" w:rsidRDefault="00BC36F8">
      <w:pPr>
        <w:keepLines/>
        <w:widowControl w:val="0"/>
        <w:suppressAutoHyphens/>
        <w:jc w:val="center"/>
        <w:rPr>
          <w:caps/>
          <w:color w:val="000000"/>
        </w:rPr>
      </w:pPr>
      <w:r>
        <w:rPr>
          <w:caps/>
          <w:color w:val="000000"/>
          <w:lang w:val="en-US"/>
        </w:rPr>
        <w:pict w14:anchorId="63C49C5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aps/>
          <w:color w:val="000000"/>
        </w:rPr>
        <w:t>Lietuvos Respublikos Vyriausybės</w:t>
      </w:r>
    </w:p>
    <w:p w14:paraId="63C49BDA" w14:textId="77777777" w:rsidR="009B59E8" w:rsidRDefault="00BC36F8">
      <w:pPr>
        <w:keepLines/>
        <w:widowControl w:val="0"/>
        <w:suppressAutoHyphens/>
        <w:jc w:val="center"/>
        <w:rPr>
          <w:color w:val="000000"/>
        </w:rPr>
      </w:pPr>
      <w:r>
        <w:rPr>
          <w:caps/>
          <w:color w:val="000000"/>
        </w:rPr>
        <w:t>n u t a r i m a s</w:t>
      </w:r>
    </w:p>
    <w:p w14:paraId="63C49BDB" w14:textId="77777777" w:rsidR="009B59E8" w:rsidRDefault="009B59E8">
      <w:pPr>
        <w:widowControl w:val="0"/>
        <w:suppressAutoHyphens/>
        <w:ind w:firstLine="567"/>
        <w:jc w:val="both"/>
        <w:rPr>
          <w:color w:val="000000"/>
        </w:rPr>
      </w:pPr>
    </w:p>
    <w:p w14:paraId="63C49BDC" w14:textId="77777777" w:rsidR="009B59E8" w:rsidRDefault="00BC36F8">
      <w:pPr>
        <w:keepLines/>
        <w:widowControl w:val="0"/>
        <w:suppressAutoHyphens/>
        <w:jc w:val="center"/>
        <w:rPr>
          <w:b/>
          <w:bCs/>
          <w:caps/>
          <w:color w:val="000000"/>
        </w:rPr>
      </w:pPr>
      <w:r>
        <w:rPr>
          <w:b/>
          <w:bCs/>
          <w:caps/>
          <w:color w:val="000000"/>
        </w:rPr>
        <w:t xml:space="preserve">DĖL </w:t>
      </w:r>
      <w:r>
        <w:rPr>
          <w:b/>
          <w:bCs/>
          <w:caps/>
          <w:color w:val="000000"/>
          <w:spacing w:val="1"/>
        </w:rPr>
        <w:t>LIETUVOS RESPUBLIKOS VYRIAUSYBĖS 2004 M. BALANDŽIO 28 D. NUTARIMO NR. 487 „</w:t>
      </w:r>
      <w:r>
        <w:rPr>
          <w:b/>
          <w:bCs/>
          <w:caps/>
          <w:color w:val="000000"/>
          <w:spacing w:val="-1"/>
        </w:rPr>
        <w:t>DĖL profesinių ligų tyrimo ir apskaitos nuostatų PATVIRTINIMO</w:t>
      </w:r>
      <w:r>
        <w:rPr>
          <w:b/>
          <w:bCs/>
          <w:caps/>
          <w:color w:val="000000"/>
          <w:spacing w:val="1"/>
        </w:rPr>
        <w:t>“ PAKEITIMO</w:t>
      </w:r>
    </w:p>
    <w:p w14:paraId="63C49BDD" w14:textId="77777777" w:rsidR="009B59E8" w:rsidRDefault="009B59E8">
      <w:pPr>
        <w:widowControl w:val="0"/>
        <w:suppressAutoHyphens/>
        <w:ind w:firstLine="567"/>
        <w:jc w:val="both"/>
        <w:rPr>
          <w:color w:val="000000"/>
        </w:rPr>
      </w:pPr>
    </w:p>
    <w:p w14:paraId="63C49BDE" w14:textId="77777777" w:rsidR="009B59E8" w:rsidRDefault="00BC36F8">
      <w:pPr>
        <w:keepLines/>
        <w:widowControl w:val="0"/>
        <w:suppressAutoHyphens/>
        <w:jc w:val="center"/>
        <w:rPr>
          <w:color w:val="000000"/>
        </w:rPr>
      </w:pPr>
      <w:r>
        <w:rPr>
          <w:color w:val="000000"/>
        </w:rPr>
        <w:t xml:space="preserve">2012 m. gegužės </w:t>
      </w:r>
      <w:r>
        <w:rPr>
          <w:color w:val="000000"/>
        </w:rPr>
        <w:t>16 d. Nr. 523</w:t>
      </w:r>
    </w:p>
    <w:p w14:paraId="63C49BDF" w14:textId="77777777" w:rsidR="009B59E8" w:rsidRDefault="00BC36F8">
      <w:pPr>
        <w:keepLines/>
        <w:widowControl w:val="0"/>
        <w:suppressAutoHyphens/>
        <w:jc w:val="center"/>
        <w:rPr>
          <w:color w:val="000000"/>
        </w:rPr>
      </w:pPr>
      <w:r>
        <w:rPr>
          <w:color w:val="000000"/>
        </w:rPr>
        <w:t>Vilnius</w:t>
      </w:r>
    </w:p>
    <w:p w14:paraId="63C49BE0" w14:textId="77777777" w:rsidR="009B59E8" w:rsidRDefault="009B59E8">
      <w:pPr>
        <w:widowControl w:val="0"/>
        <w:suppressAutoHyphens/>
        <w:ind w:firstLine="567"/>
        <w:jc w:val="both"/>
        <w:rPr>
          <w:color w:val="000000"/>
        </w:rPr>
      </w:pPr>
    </w:p>
    <w:p w14:paraId="63C49BE1" w14:textId="77777777" w:rsidR="009B59E8" w:rsidRDefault="00BC36F8">
      <w:pPr>
        <w:widowControl w:val="0"/>
        <w:suppressAutoHyphens/>
        <w:ind w:firstLine="567"/>
        <w:jc w:val="both"/>
        <w:rPr>
          <w:color w:val="000000"/>
        </w:rPr>
      </w:pPr>
      <w:r>
        <w:rPr>
          <w:color w:val="000000"/>
        </w:rPr>
        <w:t>Lietuvos Respublikos Vyriausybė</w:t>
      </w:r>
      <w:r>
        <w:rPr>
          <w:color w:val="000000"/>
          <w:spacing w:val="67"/>
        </w:rPr>
        <w:t xml:space="preserve"> nutaria</w:t>
      </w:r>
      <w:r>
        <w:rPr>
          <w:color w:val="000000"/>
        </w:rPr>
        <w:t>:</w:t>
      </w:r>
    </w:p>
    <w:p w14:paraId="63C49BE2" w14:textId="77777777" w:rsidR="009B59E8" w:rsidRDefault="00BC36F8">
      <w:pPr>
        <w:widowControl w:val="0"/>
        <w:suppressAutoHyphens/>
        <w:ind w:firstLine="567"/>
        <w:jc w:val="both"/>
        <w:rPr>
          <w:color w:val="000000"/>
          <w:spacing w:val="1"/>
        </w:rPr>
      </w:pPr>
      <w:r>
        <w:rPr>
          <w:color w:val="000000"/>
        </w:rPr>
        <w:t>1</w:t>
      </w:r>
      <w:r>
        <w:rPr>
          <w:color w:val="000000"/>
        </w:rPr>
        <w:t xml:space="preserve">. Pakeisti Profesinių ligų tyrimo ir apskaitos nuostatus, </w:t>
      </w:r>
      <w:r>
        <w:rPr>
          <w:color w:val="000000"/>
          <w:spacing w:val="6"/>
        </w:rPr>
        <w:t xml:space="preserve">patvirtintus </w:t>
      </w:r>
      <w:r>
        <w:rPr>
          <w:color w:val="000000"/>
        </w:rPr>
        <w:t>Lietuvos Respublikos Vyriausybės 2004 m. balandžio 28 d. nutarimu Nr. 487 „Dėl Profesinių ligų tyrimo ir apskaitos n</w:t>
      </w:r>
      <w:r>
        <w:rPr>
          <w:color w:val="000000"/>
        </w:rPr>
        <w:t>uostatų patvirtinimo</w:t>
      </w:r>
      <w:r>
        <w:rPr>
          <w:color w:val="000000"/>
          <w:spacing w:val="1"/>
        </w:rPr>
        <w:t xml:space="preserve">“ (Žin., 2004, Nr. </w:t>
      </w:r>
      <w:hyperlink r:id="rId10" w:tgtFrame="_blank" w:history="1">
        <w:r>
          <w:rPr>
            <w:color w:val="0000FF" w:themeColor="hyperlink"/>
            <w:spacing w:val="1"/>
            <w:u w:val="single"/>
          </w:rPr>
          <w:t>69-2398</w:t>
        </w:r>
      </w:hyperlink>
      <w:r>
        <w:rPr>
          <w:color w:val="000000"/>
          <w:spacing w:val="1"/>
        </w:rPr>
        <w:t xml:space="preserve">; 2009, Nr. </w:t>
      </w:r>
      <w:hyperlink r:id="rId11" w:tgtFrame="_blank" w:history="1">
        <w:r>
          <w:rPr>
            <w:color w:val="0000FF" w:themeColor="hyperlink"/>
            <w:spacing w:val="1"/>
            <w:u w:val="single"/>
          </w:rPr>
          <w:t>144-6377</w:t>
        </w:r>
      </w:hyperlink>
      <w:r>
        <w:rPr>
          <w:color w:val="000000"/>
          <w:spacing w:val="1"/>
        </w:rPr>
        <w:t>):</w:t>
      </w:r>
    </w:p>
    <w:p w14:paraId="63C49BE3" w14:textId="77777777" w:rsidR="009B59E8" w:rsidRDefault="00BC36F8">
      <w:pPr>
        <w:widowControl w:val="0"/>
        <w:suppressAutoHyphens/>
        <w:ind w:firstLine="567"/>
        <w:jc w:val="both"/>
        <w:rPr>
          <w:color w:val="000000"/>
          <w:spacing w:val="1"/>
        </w:rPr>
      </w:pPr>
      <w:r>
        <w:rPr>
          <w:color w:val="000000"/>
          <w:spacing w:val="1"/>
        </w:rPr>
        <w:t>1.1</w:t>
      </w:r>
      <w:r>
        <w:rPr>
          <w:color w:val="000000"/>
          <w:spacing w:val="1"/>
        </w:rPr>
        <w:t xml:space="preserve">. Išdėstyti 6 punktą taip: </w:t>
      </w:r>
    </w:p>
    <w:p w14:paraId="63C49BE4" w14:textId="77777777" w:rsidR="009B59E8" w:rsidRDefault="00BC36F8">
      <w:pPr>
        <w:widowControl w:val="0"/>
        <w:suppressAutoHyphens/>
        <w:ind w:firstLine="567"/>
        <w:jc w:val="both"/>
        <w:rPr>
          <w:color w:val="000000"/>
          <w:spacing w:val="1"/>
        </w:rPr>
      </w:pPr>
      <w:r>
        <w:rPr>
          <w:color w:val="000000"/>
          <w:spacing w:val="1"/>
        </w:rPr>
        <w:t>„</w:t>
      </w:r>
      <w:r>
        <w:rPr>
          <w:color w:val="000000"/>
          <w:spacing w:val="1"/>
        </w:rPr>
        <w:t>6</w:t>
      </w:r>
      <w:r>
        <w:rPr>
          <w:color w:val="000000"/>
          <w:spacing w:val="1"/>
        </w:rPr>
        <w:t>. Padalinio vadovas, jo nesant – darbdavio įgaliotas asmuo (toliau vadinama – įmonės vadovo įgaliotas asmuo) ar įmonės vadovas, įtaręs, kad darbuotojas susirgo ūmia profesine liga, nedelsdamas privalo suteikti darbuotojui ne</w:t>
      </w:r>
      <w:r>
        <w:rPr>
          <w:color w:val="000000"/>
          <w:spacing w:val="1"/>
        </w:rPr>
        <w:t>atidėliotiną medicinos pagalbą, užtikrinti, kad jis būtų nugabentas į artimiausią asmens sveikatos priežiūros įstaigą, ir faksu, telefonograma ar kitomis ryšio priemonėmis apie įtariamą ūmią profesinę ligą pranešti Lietuvos Respublikos valstybinės darbo in</w:t>
      </w:r>
      <w:r>
        <w:rPr>
          <w:color w:val="000000"/>
          <w:spacing w:val="1"/>
        </w:rPr>
        <w:t>spekcijos (toliau vadinama – Valstybinė darbo inspekcija) teritoriniam skyriui ir visuomenės sveikatos centrui</w:t>
      </w:r>
      <w:r>
        <w:rPr>
          <w:b/>
          <w:bCs/>
          <w:color w:val="000000"/>
          <w:spacing w:val="1"/>
        </w:rPr>
        <w:t xml:space="preserve"> </w:t>
      </w:r>
      <w:r>
        <w:rPr>
          <w:color w:val="000000"/>
          <w:spacing w:val="1"/>
        </w:rPr>
        <w:t>apskrityje, Valstybinio socialinio draudimo fondo valdybos teritoriniam skyriui, kuriame darbuotojas apdraustas nelaimingų atsitikimų darbe ir pr</w:t>
      </w:r>
      <w:r>
        <w:rPr>
          <w:color w:val="000000"/>
          <w:spacing w:val="1"/>
        </w:rPr>
        <w:t>ofesinių ligų socialiniu draudimu (toliau vadinama – draudimo įstaiga).“</w:t>
      </w:r>
    </w:p>
    <w:p w14:paraId="63C49BE5" w14:textId="77777777" w:rsidR="009B59E8" w:rsidRDefault="00BC36F8">
      <w:pPr>
        <w:widowControl w:val="0"/>
        <w:suppressAutoHyphens/>
        <w:ind w:firstLine="567"/>
        <w:jc w:val="both"/>
        <w:rPr>
          <w:color w:val="000000"/>
          <w:spacing w:val="1"/>
        </w:rPr>
      </w:pPr>
      <w:r>
        <w:rPr>
          <w:color w:val="000000"/>
          <w:spacing w:val="1"/>
        </w:rPr>
        <w:t>1.2</w:t>
      </w:r>
      <w:r>
        <w:rPr>
          <w:color w:val="000000"/>
          <w:spacing w:val="1"/>
        </w:rPr>
        <w:t xml:space="preserve">. Išdėstyti 7 punktą taip: </w:t>
      </w:r>
    </w:p>
    <w:p w14:paraId="63C49BE6" w14:textId="77777777" w:rsidR="009B59E8" w:rsidRDefault="00BC36F8">
      <w:pPr>
        <w:widowControl w:val="0"/>
        <w:suppressAutoHyphens/>
        <w:ind w:firstLine="567"/>
        <w:jc w:val="both"/>
        <w:rPr>
          <w:color w:val="000000"/>
          <w:spacing w:val="1"/>
        </w:rPr>
      </w:pPr>
      <w:r>
        <w:rPr>
          <w:color w:val="000000"/>
          <w:spacing w:val="1"/>
        </w:rPr>
        <w:t>„</w:t>
      </w:r>
      <w:r>
        <w:rPr>
          <w:color w:val="000000"/>
          <w:spacing w:val="1"/>
        </w:rPr>
        <w:t>7</w:t>
      </w:r>
      <w:r>
        <w:rPr>
          <w:color w:val="000000"/>
          <w:spacing w:val="1"/>
        </w:rPr>
        <w:t>. Darbuotojui mirus dėl įtariamos ūmios profesinės ligos, įmonės vadovas ar įmonės vadovo įgaliotas asmuo apie tai nedelsdamas praneša (tele</w:t>
      </w:r>
      <w:r>
        <w:rPr>
          <w:color w:val="000000"/>
          <w:spacing w:val="1"/>
        </w:rPr>
        <w:t>fonu, telefaksu, elektroniniu paštu) atitinkamos apylinkės prokuratūrai, Valstybinės darbo inspekcijos teritoriniam skyriui, visuomenės sveikatos centrui apskrityje ir draudimo įstaigai.“</w:t>
      </w:r>
    </w:p>
    <w:p w14:paraId="63C49BE7" w14:textId="77777777" w:rsidR="009B59E8" w:rsidRDefault="00BC36F8">
      <w:pPr>
        <w:widowControl w:val="0"/>
        <w:suppressAutoHyphens/>
        <w:ind w:firstLine="567"/>
        <w:jc w:val="both"/>
        <w:rPr>
          <w:color w:val="000000"/>
          <w:spacing w:val="1"/>
        </w:rPr>
      </w:pPr>
      <w:r>
        <w:rPr>
          <w:color w:val="000000"/>
          <w:spacing w:val="1"/>
        </w:rPr>
        <w:t>1.3</w:t>
      </w:r>
      <w:r>
        <w:rPr>
          <w:color w:val="000000"/>
          <w:spacing w:val="1"/>
        </w:rPr>
        <w:t xml:space="preserve">. Išdėstyti 8 punktą taip: </w:t>
      </w:r>
    </w:p>
    <w:p w14:paraId="63C49BE8" w14:textId="77777777" w:rsidR="009B59E8" w:rsidRDefault="00BC36F8">
      <w:pPr>
        <w:widowControl w:val="0"/>
        <w:suppressAutoHyphens/>
        <w:ind w:firstLine="567"/>
        <w:jc w:val="both"/>
        <w:rPr>
          <w:color w:val="000000"/>
          <w:spacing w:val="1"/>
        </w:rPr>
      </w:pPr>
      <w:r>
        <w:rPr>
          <w:color w:val="000000"/>
          <w:spacing w:val="1"/>
        </w:rPr>
        <w:t>„</w:t>
      </w:r>
      <w:r>
        <w:rPr>
          <w:color w:val="000000"/>
          <w:spacing w:val="1"/>
        </w:rPr>
        <w:t>8</w:t>
      </w:r>
      <w:r>
        <w:rPr>
          <w:color w:val="000000"/>
          <w:spacing w:val="1"/>
        </w:rPr>
        <w:t>. Ūmią profesinę ligą įta</w:t>
      </w:r>
      <w:r>
        <w:rPr>
          <w:color w:val="000000"/>
          <w:spacing w:val="1"/>
        </w:rPr>
        <w:t>ręs asmens sveikatos priežiūros įstaigos gydytojas ne vėliau kaip per valandą nuo profesinės ligos pirminės diagnozės nustatymo praneša apie tai Valstybinės darbo inspekcijos teritoriniam skyriui, visuomenės sveikatos centrui apskrityje, darbdaviui ir išsi</w:t>
      </w:r>
      <w:r>
        <w:rPr>
          <w:color w:val="000000"/>
          <w:spacing w:val="1"/>
        </w:rPr>
        <w:t xml:space="preserve">unčia jiems pranešimą (1 priedas).“ </w:t>
      </w:r>
    </w:p>
    <w:p w14:paraId="63C49BE9" w14:textId="77777777" w:rsidR="009B59E8" w:rsidRDefault="00BC36F8">
      <w:pPr>
        <w:widowControl w:val="0"/>
        <w:suppressAutoHyphens/>
        <w:ind w:firstLine="567"/>
        <w:jc w:val="both"/>
        <w:rPr>
          <w:color w:val="000000"/>
          <w:spacing w:val="1"/>
        </w:rPr>
      </w:pPr>
      <w:r>
        <w:rPr>
          <w:color w:val="000000"/>
          <w:spacing w:val="1"/>
        </w:rPr>
        <w:t>1.4</w:t>
      </w:r>
      <w:r>
        <w:rPr>
          <w:color w:val="000000"/>
          <w:spacing w:val="1"/>
        </w:rPr>
        <w:t xml:space="preserve">. Išdėstyti 9 punktą taip: </w:t>
      </w:r>
    </w:p>
    <w:p w14:paraId="63C49BEA" w14:textId="77777777" w:rsidR="009B59E8" w:rsidRDefault="00BC36F8">
      <w:pPr>
        <w:widowControl w:val="0"/>
        <w:suppressAutoHyphens/>
        <w:ind w:firstLine="567"/>
        <w:jc w:val="both"/>
        <w:rPr>
          <w:color w:val="000000"/>
          <w:spacing w:val="1"/>
        </w:rPr>
      </w:pPr>
      <w:r>
        <w:rPr>
          <w:color w:val="000000"/>
          <w:spacing w:val="1"/>
        </w:rPr>
        <w:t>„</w:t>
      </w:r>
      <w:r>
        <w:rPr>
          <w:color w:val="000000"/>
          <w:spacing w:val="1"/>
        </w:rPr>
        <w:t>9</w:t>
      </w:r>
      <w:r>
        <w:rPr>
          <w:color w:val="000000"/>
          <w:spacing w:val="1"/>
        </w:rPr>
        <w:t>. Lėtinę profesinę ligą įtaręs asmens sveikatos priežiūros įstaigos gydytojas ne vėliau kaip per 3 dienas nuo profesinės ligos pirminės diagnozės nustatymo išsiunčia darbdaviui</w:t>
      </w:r>
      <w:r>
        <w:rPr>
          <w:color w:val="000000"/>
          <w:spacing w:val="1"/>
        </w:rPr>
        <w:t xml:space="preserve">, Valstybinės darbo inspekcijos teritoriniam skyriui ir visuomenės sveikatos centrui apskrityje pranešimą (1 priedas).“ </w:t>
      </w:r>
    </w:p>
    <w:p w14:paraId="63C49BEB" w14:textId="77777777" w:rsidR="009B59E8" w:rsidRDefault="00BC36F8">
      <w:pPr>
        <w:widowControl w:val="0"/>
        <w:suppressAutoHyphens/>
        <w:ind w:firstLine="567"/>
        <w:jc w:val="both"/>
        <w:rPr>
          <w:color w:val="000000"/>
          <w:spacing w:val="1"/>
        </w:rPr>
      </w:pPr>
      <w:r>
        <w:rPr>
          <w:color w:val="000000"/>
          <w:spacing w:val="1"/>
        </w:rPr>
        <w:t>1.5</w:t>
      </w:r>
      <w:r>
        <w:rPr>
          <w:color w:val="000000"/>
          <w:spacing w:val="1"/>
        </w:rPr>
        <w:t xml:space="preserve">. Išdėstyti 10 punktą taip: </w:t>
      </w:r>
    </w:p>
    <w:p w14:paraId="63C49BEC" w14:textId="77777777" w:rsidR="009B59E8" w:rsidRDefault="00BC36F8">
      <w:pPr>
        <w:widowControl w:val="0"/>
        <w:suppressAutoHyphens/>
        <w:ind w:firstLine="567"/>
        <w:jc w:val="both"/>
        <w:rPr>
          <w:color w:val="000000"/>
          <w:spacing w:val="1"/>
        </w:rPr>
      </w:pPr>
      <w:r>
        <w:rPr>
          <w:color w:val="000000"/>
          <w:spacing w:val="1"/>
        </w:rPr>
        <w:t>„</w:t>
      </w:r>
      <w:r>
        <w:rPr>
          <w:color w:val="000000"/>
          <w:spacing w:val="1"/>
        </w:rPr>
        <w:t>10</w:t>
      </w:r>
      <w:r>
        <w:rPr>
          <w:color w:val="000000"/>
          <w:spacing w:val="1"/>
        </w:rPr>
        <w:t>. Darbuotojas, įtaręs profesinę ligą, turi teisę kreiptis į asmens sveikatos priežiūros įs</w:t>
      </w:r>
      <w:r>
        <w:rPr>
          <w:color w:val="000000"/>
          <w:spacing w:val="1"/>
        </w:rPr>
        <w:t>taigą. Profesinę ligą įtaręs asmens sveikatos priežiūros įstaigos gydytojas Profesinių ligų priežasčių tyrimo reglamento (toliau vadinama – reglamentas), kurį, suderinęs su Sveikatos apsaugos ministerija, tvirtina Lietuvos Respublikos vyriausiasis valstybi</w:t>
      </w:r>
      <w:r>
        <w:rPr>
          <w:color w:val="000000"/>
          <w:spacing w:val="1"/>
        </w:rPr>
        <w:t xml:space="preserve">nis darbo inspektorius (toliau vadinama – vyriausiasis valstybinis darbo inspektorius), nustatyta tvarka praneša Valstybinės darbo inspekcijos teritoriniam skyriui.“ </w:t>
      </w:r>
    </w:p>
    <w:p w14:paraId="63C49BED" w14:textId="77777777" w:rsidR="009B59E8" w:rsidRDefault="00BC36F8">
      <w:pPr>
        <w:widowControl w:val="0"/>
        <w:suppressAutoHyphens/>
        <w:ind w:firstLine="567"/>
        <w:jc w:val="both"/>
        <w:rPr>
          <w:color w:val="000000"/>
          <w:spacing w:val="1"/>
        </w:rPr>
      </w:pPr>
      <w:r>
        <w:rPr>
          <w:color w:val="000000"/>
          <w:spacing w:val="1"/>
        </w:rPr>
        <w:t>1.6</w:t>
      </w:r>
      <w:r>
        <w:rPr>
          <w:color w:val="000000"/>
          <w:spacing w:val="1"/>
        </w:rPr>
        <w:t xml:space="preserve">. Išdėstyti 11 punktą taip: </w:t>
      </w:r>
    </w:p>
    <w:p w14:paraId="63C49BEE" w14:textId="77777777" w:rsidR="009B59E8" w:rsidRDefault="00BC36F8">
      <w:pPr>
        <w:widowControl w:val="0"/>
        <w:suppressAutoHyphens/>
        <w:ind w:firstLine="567"/>
        <w:jc w:val="both"/>
        <w:rPr>
          <w:color w:val="000000"/>
          <w:spacing w:val="1"/>
        </w:rPr>
      </w:pPr>
      <w:r>
        <w:rPr>
          <w:color w:val="000000"/>
          <w:spacing w:val="1"/>
        </w:rPr>
        <w:t>„</w:t>
      </w:r>
      <w:r>
        <w:rPr>
          <w:color w:val="000000"/>
          <w:spacing w:val="1"/>
        </w:rPr>
        <w:t>11</w:t>
      </w:r>
      <w:r>
        <w:rPr>
          <w:color w:val="000000"/>
          <w:spacing w:val="1"/>
        </w:rPr>
        <w:t>. Pranešimai apie įtariamą profesinę ligą re</w:t>
      </w:r>
      <w:r>
        <w:rPr>
          <w:color w:val="000000"/>
          <w:spacing w:val="1"/>
        </w:rPr>
        <w:t>gistruojami Valstybinės darbo inspekcijos teritoriniuose skyriuose ir tą pačią dieną įvedami į Valstybinės darbo inspekcijos kompiuterinę informacinę duomenų bazę, taip pat registruojami visuomenės sveikatos centruose apskrityse.“</w:t>
      </w:r>
    </w:p>
    <w:p w14:paraId="63C49BEF" w14:textId="77777777" w:rsidR="009B59E8" w:rsidRDefault="00BC36F8">
      <w:pPr>
        <w:widowControl w:val="0"/>
        <w:suppressAutoHyphens/>
        <w:ind w:firstLine="567"/>
        <w:jc w:val="both"/>
        <w:rPr>
          <w:color w:val="000000"/>
          <w:spacing w:val="1"/>
        </w:rPr>
      </w:pPr>
      <w:r>
        <w:rPr>
          <w:color w:val="000000"/>
          <w:spacing w:val="1"/>
        </w:rPr>
        <w:t>1.7</w:t>
      </w:r>
      <w:r>
        <w:rPr>
          <w:color w:val="000000"/>
          <w:spacing w:val="1"/>
        </w:rPr>
        <w:t>. Išdėstyti 13</w:t>
      </w:r>
      <w:r>
        <w:rPr>
          <w:color w:val="000000"/>
          <w:spacing w:val="1"/>
        </w:rPr>
        <w:t xml:space="preserve"> punktą taip: </w:t>
      </w:r>
    </w:p>
    <w:p w14:paraId="63C49BF0" w14:textId="77777777" w:rsidR="009B59E8" w:rsidRDefault="00BC36F8">
      <w:pPr>
        <w:widowControl w:val="0"/>
        <w:suppressAutoHyphens/>
        <w:ind w:firstLine="567"/>
        <w:jc w:val="both"/>
        <w:rPr>
          <w:color w:val="000000"/>
          <w:spacing w:val="1"/>
        </w:rPr>
      </w:pPr>
      <w:r>
        <w:rPr>
          <w:color w:val="000000"/>
          <w:spacing w:val="1"/>
        </w:rPr>
        <w:t>„</w:t>
      </w:r>
      <w:r>
        <w:rPr>
          <w:color w:val="000000"/>
          <w:spacing w:val="1"/>
        </w:rPr>
        <w:t>13</w:t>
      </w:r>
      <w:r>
        <w:rPr>
          <w:color w:val="000000"/>
          <w:spacing w:val="1"/>
        </w:rPr>
        <w:t>. Profesinės ligos priežastys pradedamos tirti gavus pranešimą šių Nuostatų 8 arba 9 punkte nurodyta tvarka. Profesinės ligos priežastis tiria komisija, kurios sudėtyje yra Valstybinės darbo inspekcijos teritorinio skyriaus vedėjo paski</w:t>
      </w:r>
      <w:r>
        <w:rPr>
          <w:color w:val="000000"/>
          <w:spacing w:val="1"/>
        </w:rPr>
        <w:t>rtas darbo inspektorius (komisijos pirmininkas), visuomenės sveikatos centro apskrityje vadovo paskirtas specialistas ir asmens sveikatos priežiūros įstaigos vadovo paskirtas gydytojas, įtaręs profesinę ligą.“</w:t>
      </w:r>
    </w:p>
    <w:p w14:paraId="63C49BF1" w14:textId="77777777" w:rsidR="009B59E8" w:rsidRDefault="00BC36F8">
      <w:pPr>
        <w:widowControl w:val="0"/>
        <w:suppressAutoHyphens/>
        <w:ind w:firstLine="567"/>
        <w:jc w:val="both"/>
        <w:rPr>
          <w:color w:val="000000"/>
          <w:spacing w:val="1"/>
        </w:rPr>
      </w:pPr>
      <w:r>
        <w:rPr>
          <w:color w:val="000000"/>
          <w:spacing w:val="1"/>
        </w:rPr>
        <w:t>1.8</w:t>
      </w:r>
      <w:r>
        <w:rPr>
          <w:color w:val="000000"/>
          <w:spacing w:val="1"/>
        </w:rPr>
        <w:t xml:space="preserve">. Išdėstyti 14 punktą taip: </w:t>
      </w:r>
    </w:p>
    <w:p w14:paraId="63C49BF2" w14:textId="77777777" w:rsidR="009B59E8" w:rsidRDefault="00BC36F8">
      <w:pPr>
        <w:widowControl w:val="0"/>
        <w:suppressAutoHyphens/>
        <w:ind w:firstLine="567"/>
        <w:jc w:val="both"/>
        <w:rPr>
          <w:color w:val="000000"/>
          <w:spacing w:val="1"/>
        </w:rPr>
      </w:pPr>
      <w:r>
        <w:rPr>
          <w:color w:val="000000"/>
          <w:spacing w:val="1"/>
        </w:rPr>
        <w:t>„</w:t>
      </w:r>
      <w:r>
        <w:rPr>
          <w:color w:val="000000"/>
          <w:spacing w:val="1"/>
        </w:rPr>
        <w:t>14</w:t>
      </w:r>
      <w:r>
        <w:rPr>
          <w:color w:val="000000"/>
          <w:spacing w:val="1"/>
        </w:rPr>
        <w:t>.</w:t>
      </w:r>
      <w:r>
        <w:rPr>
          <w:color w:val="000000"/>
          <w:spacing w:val="1"/>
        </w:rPr>
        <w:t xml:space="preserve"> Ūmių profesinių ligų, dėl kurių mirė 3 ir daugiau darbuotojų, priežastis tiria komisija. Komisijai pirmininkauja vyriausiasis valstybinis darbo inspektorius, jos nariai – visuomenės sveikatos centro apskrityje direktorius (pavaduotojas) ar kitas direktori</w:t>
      </w:r>
      <w:r>
        <w:rPr>
          <w:color w:val="000000"/>
          <w:spacing w:val="1"/>
        </w:rPr>
        <w:t>aus skirtas atstovas, Valstybinės darbo inspekcijos teritorinio skyriaus vedėjas ir Valstybinės darbo inspekcijos atstovas.“</w:t>
      </w:r>
    </w:p>
    <w:p w14:paraId="63C49BF3" w14:textId="77777777" w:rsidR="009B59E8" w:rsidRDefault="00BC36F8">
      <w:pPr>
        <w:widowControl w:val="0"/>
        <w:suppressAutoHyphens/>
        <w:ind w:firstLine="567"/>
        <w:jc w:val="both"/>
        <w:rPr>
          <w:color w:val="000000"/>
          <w:spacing w:val="1"/>
        </w:rPr>
      </w:pPr>
      <w:r>
        <w:rPr>
          <w:color w:val="000000"/>
          <w:spacing w:val="1"/>
        </w:rPr>
        <w:t>1.9</w:t>
      </w:r>
      <w:r>
        <w:rPr>
          <w:color w:val="000000"/>
          <w:spacing w:val="1"/>
        </w:rPr>
        <w:t xml:space="preserve">. Išdėstyti 16.2 punktą taip: </w:t>
      </w:r>
    </w:p>
    <w:p w14:paraId="63C49BF4" w14:textId="77777777" w:rsidR="009B59E8" w:rsidRDefault="00BC36F8">
      <w:pPr>
        <w:widowControl w:val="0"/>
        <w:suppressAutoHyphens/>
        <w:ind w:firstLine="567"/>
        <w:jc w:val="both"/>
        <w:rPr>
          <w:color w:val="000000"/>
          <w:spacing w:val="1"/>
        </w:rPr>
      </w:pPr>
      <w:r>
        <w:rPr>
          <w:color w:val="000000"/>
          <w:spacing w:val="1"/>
        </w:rPr>
        <w:t>„</w:t>
      </w:r>
      <w:r>
        <w:rPr>
          <w:color w:val="000000"/>
          <w:spacing w:val="1"/>
        </w:rPr>
        <w:t>16.2</w:t>
      </w:r>
      <w:r>
        <w:rPr>
          <w:color w:val="000000"/>
          <w:spacing w:val="1"/>
        </w:rPr>
        <w:t xml:space="preserve">. visuomenės sveikatos centras apskrityje privalo pateikti turimus archyvinius </w:t>
      </w:r>
      <w:r>
        <w:rPr>
          <w:color w:val="000000"/>
          <w:spacing w:val="1"/>
        </w:rPr>
        <w:t>duomenis apie darbuotojo darbo sąlygų higieninių tyrimų ir darbo vietų higieninio įvertinimo rezultatus, turimus profesinės rizikos tyrimo duomenis;“.</w:t>
      </w:r>
    </w:p>
    <w:p w14:paraId="63C49BF5" w14:textId="77777777" w:rsidR="009B59E8" w:rsidRDefault="00BC36F8">
      <w:pPr>
        <w:widowControl w:val="0"/>
        <w:suppressAutoHyphens/>
        <w:ind w:firstLine="567"/>
        <w:jc w:val="both"/>
        <w:rPr>
          <w:color w:val="000000"/>
          <w:spacing w:val="1"/>
        </w:rPr>
      </w:pPr>
      <w:r>
        <w:rPr>
          <w:color w:val="000000"/>
          <w:spacing w:val="1"/>
        </w:rPr>
        <w:t>1.10</w:t>
      </w:r>
      <w:r>
        <w:rPr>
          <w:color w:val="000000"/>
          <w:spacing w:val="1"/>
        </w:rPr>
        <w:t xml:space="preserve">. Išdėstyti 30 punktą taip: </w:t>
      </w:r>
    </w:p>
    <w:p w14:paraId="63C49BF6" w14:textId="77777777" w:rsidR="009B59E8" w:rsidRDefault="00BC36F8">
      <w:pPr>
        <w:widowControl w:val="0"/>
        <w:suppressAutoHyphens/>
        <w:ind w:firstLine="567"/>
        <w:jc w:val="both"/>
        <w:rPr>
          <w:color w:val="000000"/>
          <w:spacing w:val="1"/>
        </w:rPr>
      </w:pPr>
      <w:r>
        <w:rPr>
          <w:color w:val="000000"/>
          <w:spacing w:val="1"/>
        </w:rPr>
        <w:t>„</w:t>
      </w:r>
      <w:r>
        <w:rPr>
          <w:color w:val="000000"/>
          <w:spacing w:val="1"/>
        </w:rPr>
        <w:t>30</w:t>
      </w:r>
      <w:r>
        <w:rPr>
          <w:color w:val="000000"/>
          <w:spacing w:val="1"/>
        </w:rPr>
        <w:t>. Komisijos pirmininkas aktą per 3 darbo dienas nuo jo pasi</w:t>
      </w:r>
      <w:r>
        <w:rPr>
          <w:color w:val="000000"/>
          <w:spacing w:val="1"/>
        </w:rPr>
        <w:t>rašymo įteikia pasirašytinai įmonės vadovui ir darbuotojui ar jo atstovui, išsiunčia asmens sveikatos priežiūros įstaigai, kurioje įtarta profesinė liga, Valstybinės darbo inspekcijos teritoriniam skyriui, draudimo įstaigai, visuomenės sveikatos centrui ap</w:t>
      </w:r>
      <w:r>
        <w:rPr>
          <w:color w:val="000000"/>
          <w:spacing w:val="1"/>
        </w:rPr>
        <w:t>skrityje, o jeigu nuo ūmios profesinės ligos asmuo miršta, – atitinkamos apylinkės prokuratūrai. Profesinių ligų valstybės registro tvarkymo įstaigai komisijos pirmininkas per 3 darbo dienas nuo akto surašymo užpildo ir išsiunčia Lietuvos Respublikos profe</w:t>
      </w:r>
      <w:r>
        <w:rPr>
          <w:color w:val="000000"/>
          <w:spacing w:val="1"/>
        </w:rPr>
        <w:t xml:space="preserve">sinių ligų valstybės registro nuostatuose, patvirtintuose Lietuvos Respublikos Vyriausybės 1994 m. lapkričio 30 d. nutarimu Nr. 1198 (Žin., 1994, Nr. </w:t>
      </w:r>
      <w:hyperlink r:id="rId12" w:tgtFrame="_blank" w:history="1">
        <w:r>
          <w:rPr>
            <w:color w:val="0000FF" w:themeColor="hyperlink"/>
            <w:spacing w:val="1"/>
            <w:u w:val="single"/>
          </w:rPr>
          <w:t>94-1845</w:t>
        </w:r>
      </w:hyperlink>
      <w:r>
        <w:rPr>
          <w:color w:val="000000"/>
          <w:spacing w:val="1"/>
        </w:rPr>
        <w:t xml:space="preserve">; 2009, Nr. </w:t>
      </w:r>
      <w:hyperlink r:id="rId13" w:tgtFrame="_blank" w:history="1">
        <w:r>
          <w:rPr>
            <w:color w:val="0000FF" w:themeColor="hyperlink"/>
            <w:spacing w:val="1"/>
            <w:u w:val="single"/>
          </w:rPr>
          <w:t>56-2202</w:t>
        </w:r>
      </w:hyperlink>
      <w:r>
        <w:rPr>
          <w:color w:val="000000"/>
          <w:spacing w:val="1"/>
        </w:rPr>
        <w:t>), nustatytos formos profesinės ligos kortelę. Kiekvienai nustatytai profesinės ligos diagnozei pildoma atskira profesinės ligos kortelė.“</w:t>
      </w:r>
    </w:p>
    <w:p w14:paraId="63C49BF7" w14:textId="77777777" w:rsidR="009B59E8" w:rsidRDefault="00BC36F8">
      <w:pPr>
        <w:widowControl w:val="0"/>
        <w:suppressAutoHyphens/>
        <w:ind w:firstLine="567"/>
        <w:jc w:val="both"/>
        <w:rPr>
          <w:color w:val="000000"/>
          <w:spacing w:val="1"/>
        </w:rPr>
      </w:pPr>
      <w:r>
        <w:rPr>
          <w:color w:val="000000"/>
          <w:spacing w:val="1"/>
        </w:rPr>
        <w:t>1.11</w:t>
      </w:r>
      <w:r>
        <w:rPr>
          <w:color w:val="000000"/>
          <w:spacing w:val="1"/>
        </w:rPr>
        <w:t>. Išdėstyti 33 punktą taip:</w:t>
      </w:r>
      <w:r>
        <w:rPr>
          <w:color w:val="000000"/>
          <w:spacing w:val="1"/>
        </w:rPr>
        <w:t xml:space="preserve"> </w:t>
      </w:r>
    </w:p>
    <w:p w14:paraId="63C49BF8" w14:textId="77777777" w:rsidR="009B59E8" w:rsidRDefault="00BC36F8">
      <w:pPr>
        <w:widowControl w:val="0"/>
        <w:suppressAutoHyphens/>
        <w:ind w:firstLine="567"/>
        <w:jc w:val="both"/>
        <w:rPr>
          <w:color w:val="000000"/>
          <w:spacing w:val="1"/>
        </w:rPr>
      </w:pPr>
      <w:r>
        <w:rPr>
          <w:color w:val="000000"/>
          <w:spacing w:val="1"/>
        </w:rPr>
        <w:t>„</w:t>
      </w:r>
      <w:r>
        <w:rPr>
          <w:color w:val="000000"/>
          <w:spacing w:val="1"/>
        </w:rPr>
        <w:t>33</w:t>
      </w:r>
      <w:r>
        <w:rPr>
          <w:color w:val="000000"/>
          <w:spacing w:val="1"/>
        </w:rPr>
        <w:t>. Profesinės ligos registruojamos Profesinių ligų valstybės registre Lietuvos Respublikos profesinių ligų valstybės registro nuostatų nustatyta tvarka. Profesinės ligos taip pat registruojamos visuomenės sveikatos centre apskrityje profesinių ligų r</w:t>
      </w:r>
      <w:r>
        <w:rPr>
          <w:color w:val="000000"/>
          <w:spacing w:val="1"/>
        </w:rPr>
        <w:t>egistravimo žurnale (5 priedas).“</w:t>
      </w:r>
    </w:p>
    <w:p w14:paraId="63C49BF9" w14:textId="77777777" w:rsidR="009B59E8" w:rsidRDefault="00BC36F8">
      <w:pPr>
        <w:widowControl w:val="0"/>
        <w:suppressAutoHyphens/>
        <w:ind w:firstLine="567"/>
        <w:jc w:val="both"/>
        <w:rPr>
          <w:color w:val="000000"/>
        </w:rPr>
      </w:pPr>
      <w:r>
        <w:rPr>
          <w:color w:val="000000"/>
        </w:rPr>
        <w:t>1.12</w:t>
      </w:r>
      <w:r>
        <w:rPr>
          <w:color w:val="000000"/>
        </w:rPr>
        <w:t>. Papildyti 5 priedu (pridedama).</w:t>
      </w:r>
    </w:p>
    <w:p w14:paraId="63C49BFD" w14:textId="47349CAD" w:rsidR="009B59E8" w:rsidRDefault="00BC36F8" w:rsidP="00BC36F8">
      <w:pPr>
        <w:widowControl w:val="0"/>
        <w:suppressAutoHyphens/>
        <w:ind w:firstLine="567"/>
        <w:jc w:val="both"/>
      </w:pPr>
      <w:r>
        <w:rPr>
          <w:color w:val="000000"/>
        </w:rPr>
        <w:t>2</w:t>
      </w:r>
      <w:r>
        <w:rPr>
          <w:color w:val="000000"/>
        </w:rPr>
        <w:t>. Šis nutarimas įsigalioja 2012 m. liepos 1 dieną.</w:t>
      </w:r>
    </w:p>
    <w:p w14:paraId="2AB1D9E4" w14:textId="77777777" w:rsidR="00BC36F8" w:rsidRDefault="00BC36F8">
      <w:pPr>
        <w:widowControl w:val="0"/>
        <w:tabs>
          <w:tab w:val="right" w:pos="9071"/>
        </w:tabs>
        <w:suppressAutoHyphens/>
        <w:rPr>
          <w:caps/>
          <w:color w:val="000000"/>
        </w:rPr>
      </w:pPr>
    </w:p>
    <w:p w14:paraId="2EB1320C" w14:textId="77777777" w:rsidR="00BC36F8" w:rsidRDefault="00BC36F8">
      <w:pPr>
        <w:widowControl w:val="0"/>
        <w:tabs>
          <w:tab w:val="right" w:pos="9071"/>
        </w:tabs>
        <w:suppressAutoHyphens/>
        <w:rPr>
          <w:caps/>
          <w:color w:val="000000"/>
        </w:rPr>
      </w:pPr>
    </w:p>
    <w:p w14:paraId="5ED9B6A5" w14:textId="77777777" w:rsidR="00BC36F8" w:rsidRDefault="00BC36F8">
      <w:pPr>
        <w:widowControl w:val="0"/>
        <w:tabs>
          <w:tab w:val="right" w:pos="9071"/>
        </w:tabs>
        <w:suppressAutoHyphens/>
        <w:rPr>
          <w:caps/>
          <w:color w:val="000000"/>
        </w:rPr>
      </w:pPr>
    </w:p>
    <w:p w14:paraId="63C49BFE" w14:textId="0400D327" w:rsidR="009B59E8" w:rsidRDefault="00BC36F8">
      <w:pPr>
        <w:widowControl w:val="0"/>
        <w:tabs>
          <w:tab w:val="right" w:pos="9071"/>
        </w:tabs>
        <w:suppressAutoHyphens/>
        <w:rPr>
          <w:caps/>
          <w:color w:val="000000"/>
        </w:rPr>
      </w:pPr>
      <w:r>
        <w:rPr>
          <w:caps/>
          <w:color w:val="000000"/>
        </w:rPr>
        <w:t>Ministras Pirmininkas</w:t>
      </w:r>
      <w:r>
        <w:rPr>
          <w:caps/>
          <w:color w:val="000000"/>
        </w:rPr>
        <w:tab/>
        <w:t>Andrius Kubilius</w:t>
      </w:r>
    </w:p>
    <w:p w14:paraId="63C49BFF" w14:textId="77777777" w:rsidR="009B59E8" w:rsidRDefault="009B59E8">
      <w:pPr>
        <w:widowControl w:val="0"/>
        <w:tabs>
          <w:tab w:val="right" w:pos="9071"/>
        </w:tabs>
        <w:suppressAutoHyphens/>
        <w:ind w:firstLine="567"/>
        <w:jc w:val="both"/>
        <w:rPr>
          <w:color w:val="000000"/>
        </w:rPr>
      </w:pPr>
    </w:p>
    <w:p w14:paraId="63C49C00" w14:textId="77777777" w:rsidR="009B59E8" w:rsidRDefault="009B59E8">
      <w:pPr>
        <w:widowControl w:val="0"/>
        <w:tabs>
          <w:tab w:val="right" w:pos="9071"/>
        </w:tabs>
        <w:suppressAutoHyphens/>
        <w:ind w:firstLine="567"/>
        <w:jc w:val="both"/>
        <w:rPr>
          <w:color w:val="000000"/>
        </w:rPr>
      </w:pPr>
    </w:p>
    <w:p w14:paraId="63C49C01" w14:textId="77777777" w:rsidR="009B59E8" w:rsidRDefault="009B59E8">
      <w:pPr>
        <w:widowControl w:val="0"/>
        <w:tabs>
          <w:tab w:val="right" w:pos="9071"/>
        </w:tabs>
        <w:suppressAutoHyphens/>
        <w:ind w:firstLine="567"/>
        <w:jc w:val="both"/>
        <w:rPr>
          <w:color w:val="000000"/>
        </w:rPr>
      </w:pPr>
    </w:p>
    <w:p w14:paraId="63C49C05" w14:textId="0ED09F34" w:rsidR="009B59E8" w:rsidRDefault="00BC36F8" w:rsidP="00BC36F8">
      <w:pPr>
        <w:widowControl w:val="0"/>
        <w:tabs>
          <w:tab w:val="right" w:pos="9071"/>
        </w:tabs>
        <w:suppressAutoHyphens/>
        <w:rPr>
          <w:color w:val="000000"/>
        </w:rPr>
      </w:pPr>
      <w:r>
        <w:rPr>
          <w:caps/>
          <w:color w:val="000000"/>
        </w:rPr>
        <w:t>Socialinės apsaugos ir darbo ministras</w:t>
      </w:r>
      <w:r>
        <w:rPr>
          <w:caps/>
          <w:color w:val="000000"/>
        </w:rPr>
        <w:tab/>
        <w:t>Donatas Jankauskas</w:t>
      </w:r>
    </w:p>
    <w:p w14:paraId="63C49C06" w14:textId="77777777" w:rsidR="009B59E8" w:rsidRDefault="00BC36F8">
      <w:pPr>
        <w:keepLines/>
        <w:widowControl w:val="0"/>
        <w:suppressAutoHyphens/>
        <w:ind w:left="4535"/>
        <w:rPr>
          <w:color w:val="000000"/>
        </w:rPr>
      </w:pPr>
      <w:r>
        <w:rPr>
          <w:color w:val="000000"/>
        </w:rPr>
        <w:br w:type="page"/>
      </w:r>
      <w:r>
        <w:rPr>
          <w:color w:val="000000"/>
        </w:rPr>
        <w:lastRenderedPageBreak/>
        <w:t>Profesinių ligų tyrimo ir apskaitos nuostatų</w:t>
      </w:r>
    </w:p>
    <w:p w14:paraId="63C49C07" w14:textId="77777777" w:rsidR="009B59E8" w:rsidRDefault="00BC36F8">
      <w:pPr>
        <w:keepLines/>
        <w:widowControl w:val="0"/>
        <w:suppressAutoHyphens/>
        <w:ind w:left="4535"/>
        <w:rPr>
          <w:color w:val="000000"/>
        </w:rPr>
      </w:pPr>
      <w:r>
        <w:rPr>
          <w:color w:val="000000"/>
        </w:rPr>
        <w:t>5</w:t>
      </w:r>
      <w:r>
        <w:rPr>
          <w:color w:val="000000"/>
        </w:rPr>
        <w:t xml:space="preserve"> priedas</w:t>
      </w:r>
    </w:p>
    <w:p w14:paraId="63C49C08" w14:textId="77777777" w:rsidR="009B59E8" w:rsidRDefault="009B59E8">
      <w:pPr>
        <w:widowControl w:val="0"/>
        <w:suppressAutoHyphens/>
        <w:jc w:val="center"/>
        <w:rPr>
          <w:color w:val="000000"/>
        </w:rPr>
      </w:pPr>
    </w:p>
    <w:p w14:paraId="63C49C09" w14:textId="77777777" w:rsidR="009B59E8" w:rsidRDefault="00BC36F8">
      <w:pPr>
        <w:tabs>
          <w:tab w:val="left" w:leader="underscore" w:pos="8901"/>
        </w:tabs>
        <w:jc w:val="center"/>
      </w:pPr>
      <w:r>
        <w:t>_</w:t>
      </w:r>
      <w:r>
        <w:tab/>
      </w:r>
    </w:p>
    <w:p w14:paraId="63C49C0A" w14:textId="77777777" w:rsidR="009B59E8" w:rsidRDefault="00BC36F8">
      <w:pPr>
        <w:keepLines/>
        <w:widowControl w:val="0"/>
        <w:suppressAutoHyphens/>
        <w:jc w:val="center"/>
        <w:rPr>
          <w:color w:val="000000"/>
          <w:sz w:val="20"/>
        </w:rPr>
      </w:pPr>
      <w:r>
        <w:rPr>
          <w:color w:val="000000"/>
          <w:sz w:val="20"/>
        </w:rPr>
        <w:t>(dokumento sudarytojo pavadinimas)</w:t>
      </w:r>
    </w:p>
    <w:p w14:paraId="63C49C0B" w14:textId="77777777" w:rsidR="009B59E8" w:rsidRDefault="009B59E8">
      <w:pPr>
        <w:keepLines/>
        <w:widowControl w:val="0"/>
        <w:suppressAutoHyphens/>
        <w:jc w:val="center"/>
        <w:rPr>
          <w:color w:val="000000"/>
        </w:rPr>
      </w:pPr>
    </w:p>
    <w:p w14:paraId="63C49C0C" w14:textId="0F3B2E0A" w:rsidR="009B59E8" w:rsidRDefault="00BC36F8">
      <w:pPr>
        <w:keepLines/>
        <w:widowControl w:val="0"/>
        <w:suppressAutoHyphens/>
        <w:jc w:val="center"/>
        <w:rPr>
          <w:b/>
          <w:bCs/>
          <w:color w:val="000000"/>
        </w:rPr>
      </w:pPr>
      <w:r>
        <w:rPr>
          <w:b/>
          <w:bCs/>
          <w:color w:val="000000"/>
        </w:rPr>
        <w:t xml:space="preserve">PROFESINIŲ LIGŲ REGISTRAVIMO ŽURNALAS </w:t>
      </w:r>
    </w:p>
    <w:p w14:paraId="63C49C0D" w14:textId="77777777" w:rsidR="009B59E8" w:rsidRDefault="009B59E8">
      <w:pPr>
        <w:keepLines/>
        <w:widowControl w:val="0"/>
        <w:suppressAutoHyphens/>
        <w:jc w:val="center"/>
        <w:rPr>
          <w:color w:val="000000"/>
        </w:rPr>
      </w:pPr>
    </w:p>
    <w:p w14:paraId="63C49C0E" w14:textId="77777777" w:rsidR="009B59E8" w:rsidRDefault="00BC36F8">
      <w:pPr>
        <w:keepLines/>
        <w:widowControl w:val="0"/>
        <w:suppressAutoHyphens/>
        <w:ind w:left="4535"/>
        <w:rPr>
          <w:color w:val="000000"/>
        </w:rPr>
      </w:pPr>
      <w:r>
        <w:rPr>
          <w:color w:val="000000"/>
        </w:rPr>
        <w:t>Pradėta: _____________</w:t>
      </w:r>
    </w:p>
    <w:p w14:paraId="63C49C0F" w14:textId="77777777" w:rsidR="009B59E8" w:rsidRDefault="00BC36F8">
      <w:pPr>
        <w:keepLines/>
        <w:widowControl w:val="0"/>
        <w:suppressAutoHyphens/>
        <w:ind w:left="4535"/>
        <w:rPr>
          <w:color w:val="000000"/>
        </w:rPr>
      </w:pPr>
      <w:r>
        <w:rPr>
          <w:color w:val="000000"/>
        </w:rPr>
        <w:t>Baigta: ______________</w:t>
      </w:r>
    </w:p>
    <w:p w14:paraId="63C49C10" w14:textId="77777777" w:rsidR="009B59E8" w:rsidRDefault="009B59E8">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88"/>
        <w:gridCol w:w="939"/>
        <w:gridCol w:w="714"/>
        <w:gridCol w:w="775"/>
        <w:gridCol w:w="973"/>
        <w:gridCol w:w="1073"/>
        <w:gridCol w:w="777"/>
        <w:gridCol w:w="712"/>
        <w:gridCol w:w="921"/>
        <w:gridCol w:w="1698"/>
      </w:tblGrid>
      <w:tr w:rsidR="009B59E8" w14:paraId="63C49C15" w14:textId="77777777">
        <w:trPr>
          <w:trHeight w:val="60"/>
        </w:trPr>
        <w:tc>
          <w:tcPr>
            <w:tcW w:w="522"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63C49C11" w14:textId="77777777" w:rsidR="009B59E8" w:rsidRDefault="00BC36F8">
            <w:pPr>
              <w:widowControl w:val="0"/>
              <w:suppressAutoHyphens/>
              <w:jc w:val="center"/>
              <w:rPr>
                <w:color w:val="000000"/>
                <w:sz w:val="20"/>
              </w:rPr>
            </w:pPr>
            <w:r>
              <w:rPr>
                <w:color w:val="000000"/>
                <w:sz w:val="20"/>
              </w:rPr>
              <w:t>Reg. Nr.</w:t>
            </w:r>
          </w:p>
        </w:tc>
        <w:tc>
          <w:tcPr>
            <w:tcW w:w="1013"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63C49C12" w14:textId="77777777" w:rsidR="009B59E8" w:rsidRDefault="00BC36F8">
            <w:pPr>
              <w:widowControl w:val="0"/>
              <w:suppressAutoHyphens/>
              <w:jc w:val="center"/>
              <w:rPr>
                <w:color w:val="000000"/>
                <w:sz w:val="20"/>
              </w:rPr>
            </w:pPr>
            <w:r>
              <w:rPr>
                <w:color w:val="000000"/>
                <w:sz w:val="20"/>
              </w:rPr>
              <w:t>Registracijos data</w:t>
            </w:r>
          </w:p>
        </w:tc>
        <w:tc>
          <w:tcPr>
            <w:tcW w:w="5411" w:type="dxa"/>
            <w:gridSpan w:val="6"/>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63C49C13" w14:textId="77777777" w:rsidR="009B59E8" w:rsidRDefault="00BC36F8">
            <w:pPr>
              <w:widowControl w:val="0"/>
              <w:suppressAutoHyphens/>
              <w:jc w:val="center"/>
              <w:rPr>
                <w:color w:val="000000"/>
                <w:sz w:val="20"/>
              </w:rPr>
            </w:pPr>
            <w:r>
              <w:rPr>
                <w:color w:val="000000"/>
                <w:sz w:val="20"/>
              </w:rPr>
              <w:t>Darbuotojas</w:t>
            </w:r>
          </w:p>
        </w:tc>
        <w:tc>
          <w:tcPr>
            <w:tcW w:w="2835"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63C49C14" w14:textId="77777777" w:rsidR="009B59E8" w:rsidRDefault="00BC36F8">
            <w:pPr>
              <w:widowControl w:val="0"/>
              <w:suppressAutoHyphens/>
              <w:jc w:val="center"/>
              <w:rPr>
                <w:color w:val="000000"/>
                <w:sz w:val="20"/>
              </w:rPr>
            </w:pPr>
            <w:r>
              <w:rPr>
                <w:color w:val="000000"/>
                <w:sz w:val="20"/>
              </w:rPr>
              <w:t>Darbo stažas</w:t>
            </w:r>
          </w:p>
        </w:tc>
      </w:tr>
      <w:tr w:rsidR="009B59E8" w14:paraId="63C49C20" w14:textId="77777777">
        <w:trPr>
          <w:trHeight w:val="60"/>
        </w:trPr>
        <w:tc>
          <w:tcPr>
            <w:tcW w:w="522" w:type="dxa"/>
            <w:vMerge/>
            <w:tcBorders>
              <w:top w:val="nil"/>
              <w:left w:val="single" w:sz="4" w:space="0" w:color="000000"/>
              <w:bottom w:val="single" w:sz="4" w:space="0" w:color="000000"/>
              <w:right w:val="single" w:sz="4" w:space="0" w:color="000000"/>
            </w:tcBorders>
          </w:tcPr>
          <w:p w14:paraId="63C49C16" w14:textId="77777777" w:rsidR="009B59E8" w:rsidRDefault="009B59E8">
            <w:pPr>
              <w:widowControl w:val="0"/>
              <w:jc w:val="center"/>
              <w:rPr>
                <w:sz w:val="20"/>
              </w:rPr>
            </w:pPr>
          </w:p>
        </w:tc>
        <w:tc>
          <w:tcPr>
            <w:tcW w:w="1013" w:type="dxa"/>
            <w:vMerge/>
            <w:tcBorders>
              <w:top w:val="nil"/>
              <w:left w:val="single" w:sz="4" w:space="0" w:color="000000"/>
              <w:bottom w:val="single" w:sz="4" w:space="0" w:color="000000"/>
              <w:right w:val="single" w:sz="4" w:space="0" w:color="000000"/>
            </w:tcBorders>
          </w:tcPr>
          <w:p w14:paraId="63C49C17" w14:textId="77777777" w:rsidR="009B59E8" w:rsidRDefault="009B59E8">
            <w:pPr>
              <w:widowControl w:val="0"/>
              <w:jc w:val="center"/>
              <w:rPr>
                <w:sz w:val="20"/>
              </w:rPr>
            </w:pPr>
          </w:p>
        </w:tc>
        <w:tc>
          <w:tcPr>
            <w:tcW w:w="7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C49C18" w14:textId="77777777" w:rsidR="009B59E8" w:rsidRDefault="00BC36F8">
            <w:pPr>
              <w:widowControl w:val="0"/>
              <w:suppressAutoHyphens/>
              <w:jc w:val="center"/>
              <w:rPr>
                <w:color w:val="000000"/>
                <w:sz w:val="20"/>
              </w:rPr>
            </w:pPr>
            <w:r>
              <w:rPr>
                <w:color w:val="000000"/>
                <w:sz w:val="20"/>
              </w:rPr>
              <w:t>vardas</w:t>
            </w:r>
          </w:p>
        </w:tc>
        <w:tc>
          <w:tcPr>
            <w:tcW w:w="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C49C19" w14:textId="77777777" w:rsidR="009B59E8" w:rsidRDefault="00BC36F8">
            <w:pPr>
              <w:widowControl w:val="0"/>
              <w:suppressAutoHyphens/>
              <w:jc w:val="center"/>
              <w:rPr>
                <w:color w:val="000000"/>
                <w:sz w:val="20"/>
              </w:rPr>
            </w:pPr>
            <w:r>
              <w:rPr>
                <w:color w:val="000000"/>
                <w:sz w:val="20"/>
              </w:rPr>
              <w:t>pavardė</w:t>
            </w:r>
          </w:p>
        </w:tc>
        <w:tc>
          <w:tcPr>
            <w:tcW w:w="10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C49C1A" w14:textId="77777777" w:rsidR="009B59E8" w:rsidRDefault="00BC36F8">
            <w:pPr>
              <w:widowControl w:val="0"/>
              <w:suppressAutoHyphens/>
              <w:jc w:val="center"/>
              <w:rPr>
                <w:color w:val="000000"/>
                <w:sz w:val="20"/>
              </w:rPr>
            </w:pPr>
            <w:r>
              <w:rPr>
                <w:color w:val="000000"/>
                <w:sz w:val="20"/>
              </w:rPr>
              <w:t>asmens kodas</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C49C1B" w14:textId="77777777" w:rsidR="009B59E8" w:rsidRDefault="00BC36F8">
            <w:pPr>
              <w:widowControl w:val="0"/>
              <w:suppressAutoHyphens/>
              <w:jc w:val="center"/>
              <w:rPr>
                <w:color w:val="000000"/>
                <w:sz w:val="20"/>
              </w:rPr>
            </w:pPr>
            <w:r>
              <w:rPr>
                <w:color w:val="000000"/>
                <w:sz w:val="20"/>
              </w:rPr>
              <w:t>adresas</w:t>
            </w:r>
          </w:p>
        </w:tc>
        <w:tc>
          <w:tcPr>
            <w:tcW w:w="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C49C1C" w14:textId="77777777" w:rsidR="009B59E8" w:rsidRDefault="00BC36F8">
            <w:pPr>
              <w:widowControl w:val="0"/>
              <w:suppressAutoHyphens/>
              <w:jc w:val="center"/>
              <w:rPr>
                <w:color w:val="000000"/>
                <w:sz w:val="20"/>
              </w:rPr>
            </w:pPr>
            <w:r>
              <w:rPr>
                <w:color w:val="000000"/>
                <w:sz w:val="20"/>
              </w:rPr>
              <w:t>profesija</w:t>
            </w:r>
          </w:p>
        </w:tc>
        <w:tc>
          <w:tcPr>
            <w:tcW w:w="7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C49C1D" w14:textId="77777777" w:rsidR="009B59E8" w:rsidRDefault="00BC36F8">
            <w:pPr>
              <w:widowControl w:val="0"/>
              <w:suppressAutoHyphens/>
              <w:jc w:val="center"/>
              <w:rPr>
                <w:color w:val="000000"/>
                <w:sz w:val="20"/>
              </w:rPr>
            </w:pPr>
            <w:r>
              <w:rPr>
                <w:color w:val="000000"/>
                <w:sz w:val="20"/>
              </w:rPr>
              <w:t>pareigos</w:t>
            </w: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C49C1E" w14:textId="77777777" w:rsidR="009B59E8" w:rsidRDefault="00BC36F8">
            <w:pPr>
              <w:widowControl w:val="0"/>
              <w:suppressAutoHyphens/>
              <w:jc w:val="center"/>
              <w:rPr>
                <w:color w:val="000000"/>
                <w:sz w:val="20"/>
              </w:rPr>
            </w:pPr>
            <w:r>
              <w:rPr>
                <w:color w:val="000000"/>
                <w:sz w:val="20"/>
              </w:rPr>
              <w:t>bendras</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C49C1F" w14:textId="77777777" w:rsidR="009B59E8" w:rsidRDefault="00BC36F8">
            <w:pPr>
              <w:widowControl w:val="0"/>
              <w:suppressAutoHyphens/>
              <w:jc w:val="center"/>
              <w:rPr>
                <w:color w:val="000000"/>
                <w:sz w:val="20"/>
              </w:rPr>
            </w:pPr>
            <w:r>
              <w:rPr>
                <w:color w:val="000000"/>
                <w:sz w:val="20"/>
              </w:rPr>
              <w:t>veikiant kenksmingiems veiksniams, susijusiems su profesinės ligos diagnoze</w:t>
            </w:r>
          </w:p>
        </w:tc>
      </w:tr>
      <w:tr w:rsidR="009B59E8" w14:paraId="63C49C2B" w14:textId="77777777">
        <w:trPr>
          <w:trHeight w:val="60"/>
        </w:trPr>
        <w:tc>
          <w:tcPr>
            <w:tcW w:w="5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21" w14:textId="77777777" w:rsidR="009B59E8" w:rsidRDefault="00BC36F8">
            <w:pPr>
              <w:widowControl w:val="0"/>
              <w:suppressAutoHyphens/>
              <w:jc w:val="center"/>
              <w:rPr>
                <w:color w:val="000000"/>
                <w:sz w:val="20"/>
              </w:rPr>
            </w:pPr>
            <w:r>
              <w:rPr>
                <w:color w:val="000000"/>
                <w:sz w:val="20"/>
              </w:rPr>
              <w:t>1</w:t>
            </w:r>
          </w:p>
        </w:tc>
        <w:tc>
          <w:tcPr>
            <w:tcW w:w="10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22" w14:textId="77777777" w:rsidR="009B59E8" w:rsidRDefault="00BC36F8">
            <w:pPr>
              <w:widowControl w:val="0"/>
              <w:suppressAutoHyphens/>
              <w:jc w:val="center"/>
              <w:rPr>
                <w:color w:val="000000"/>
                <w:sz w:val="20"/>
              </w:rPr>
            </w:pPr>
            <w:r>
              <w:rPr>
                <w:color w:val="000000"/>
                <w:sz w:val="20"/>
              </w:rPr>
              <w:t>2</w:t>
            </w:r>
          </w:p>
        </w:tc>
        <w:tc>
          <w:tcPr>
            <w:tcW w:w="7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23" w14:textId="77777777" w:rsidR="009B59E8" w:rsidRDefault="00BC36F8">
            <w:pPr>
              <w:widowControl w:val="0"/>
              <w:suppressAutoHyphens/>
              <w:jc w:val="center"/>
              <w:rPr>
                <w:color w:val="000000"/>
                <w:sz w:val="20"/>
              </w:rPr>
            </w:pPr>
            <w:r>
              <w:rPr>
                <w:color w:val="000000"/>
                <w:sz w:val="20"/>
              </w:rPr>
              <w:t>3</w:t>
            </w:r>
          </w:p>
        </w:tc>
        <w:tc>
          <w:tcPr>
            <w:tcW w:w="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24" w14:textId="77777777" w:rsidR="009B59E8" w:rsidRDefault="00BC36F8">
            <w:pPr>
              <w:widowControl w:val="0"/>
              <w:suppressAutoHyphens/>
              <w:jc w:val="center"/>
              <w:rPr>
                <w:color w:val="000000"/>
                <w:sz w:val="20"/>
              </w:rPr>
            </w:pPr>
            <w:r>
              <w:rPr>
                <w:color w:val="000000"/>
                <w:sz w:val="20"/>
              </w:rPr>
              <w:t>4</w:t>
            </w:r>
          </w:p>
        </w:tc>
        <w:tc>
          <w:tcPr>
            <w:tcW w:w="10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25" w14:textId="77777777" w:rsidR="009B59E8" w:rsidRDefault="00BC36F8">
            <w:pPr>
              <w:widowControl w:val="0"/>
              <w:suppressAutoHyphens/>
              <w:jc w:val="center"/>
              <w:rPr>
                <w:color w:val="000000"/>
                <w:sz w:val="20"/>
              </w:rPr>
            </w:pPr>
            <w:r>
              <w:rPr>
                <w:color w:val="000000"/>
                <w:sz w:val="20"/>
              </w:rPr>
              <w:t>5</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26" w14:textId="77777777" w:rsidR="009B59E8" w:rsidRDefault="00BC36F8">
            <w:pPr>
              <w:widowControl w:val="0"/>
              <w:suppressAutoHyphens/>
              <w:jc w:val="center"/>
              <w:rPr>
                <w:color w:val="000000"/>
                <w:sz w:val="20"/>
              </w:rPr>
            </w:pPr>
            <w:r>
              <w:rPr>
                <w:color w:val="000000"/>
                <w:sz w:val="20"/>
              </w:rPr>
              <w:t>6</w:t>
            </w:r>
          </w:p>
        </w:tc>
        <w:tc>
          <w:tcPr>
            <w:tcW w:w="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27" w14:textId="77777777" w:rsidR="009B59E8" w:rsidRDefault="00BC36F8">
            <w:pPr>
              <w:widowControl w:val="0"/>
              <w:suppressAutoHyphens/>
              <w:jc w:val="center"/>
              <w:rPr>
                <w:color w:val="000000"/>
                <w:sz w:val="20"/>
              </w:rPr>
            </w:pPr>
            <w:r>
              <w:rPr>
                <w:color w:val="000000"/>
                <w:sz w:val="20"/>
              </w:rPr>
              <w:t>7</w:t>
            </w:r>
          </w:p>
        </w:tc>
        <w:tc>
          <w:tcPr>
            <w:tcW w:w="7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28" w14:textId="77777777" w:rsidR="009B59E8" w:rsidRDefault="00BC36F8">
            <w:pPr>
              <w:widowControl w:val="0"/>
              <w:suppressAutoHyphens/>
              <w:jc w:val="center"/>
              <w:rPr>
                <w:color w:val="000000"/>
                <w:sz w:val="20"/>
              </w:rPr>
            </w:pPr>
            <w:r>
              <w:rPr>
                <w:color w:val="000000"/>
                <w:sz w:val="20"/>
              </w:rPr>
              <w:t>8</w:t>
            </w: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29" w14:textId="77777777" w:rsidR="009B59E8" w:rsidRDefault="00BC36F8">
            <w:pPr>
              <w:widowControl w:val="0"/>
              <w:suppressAutoHyphens/>
              <w:jc w:val="center"/>
              <w:rPr>
                <w:color w:val="000000"/>
                <w:sz w:val="20"/>
              </w:rPr>
            </w:pPr>
            <w:r>
              <w:rPr>
                <w:color w:val="000000"/>
                <w:sz w:val="20"/>
              </w:rPr>
              <w:t>9</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2A" w14:textId="77777777" w:rsidR="009B59E8" w:rsidRDefault="00BC36F8">
            <w:pPr>
              <w:widowControl w:val="0"/>
              <w:suppressAutoHyphens/>
              <w:jc w:val="center"/>
              <w:rPr>
                <w:color w:val="000000"/>
                <w:sz w:val="20"/>
              </w:rPr>
            </w:pPr>
            <w:r>
              <w:rPr>
                <w:color w:val="000000"/>
                <w:sz w:val="20"/>
              </w:rPr>
              <w:t>10</w:t>
            </w:r>
          </w:p>
        </w:tc>
      </w:tr>
      <w:tr w:rsidR="009B59E8" w14:paraId="63C49C36" w14:textId="77777777">
        <w:trPr>
          <w:trHeight w:val="60"/>
        </w:trPr>
        <w:tc>
          <w:tcPr>
            <w:tcW w:w="5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2C" w14:textId="77777777" w:rsidR="009B59E8" w:rsidRDefault="009B59E8">
            <w:pPr>
              <w:widowControl w:val="0"/>
              <w:jc w:val="center"/>
              <w:rPr>
                <w:sz w:val="20"/>
              </w:rPr>
            </w:pPr>
          </w:p>
        </w:tc>
        <w:tc>
          <w:tcPr>
            <w:tcW w:w="10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2D" w14:textId="77777777" w:rsidR="009B59E8" w:rsidRDefault="009B59E8">
            <w:pPr>
              <w:widowControl w:val="0"/>
              <w:jc w:val="center"/>
              <w:rPr>
                <w:sz w:val="20"/>
              </w:rPr>
            </w:pPr>
          </w:p>
        </w:tc>
        <w:tc>
          <w:tcPr>
            <w:tcW w:w="7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2E" w14:textId="77777777" w:rsidR="009B59E8" w:rsidRDefault="009B59E8">
            <w:pPr>
              <w:widowControl w:val="0"/>
              <w:jc w:val="center"/>
              <w:rPr>
                <w:sz w:val="20"/>
              </w:rPr>
            </w:pPr>
          </w:p>
        </w:tc>
        <w:tc>
          <w:tcPr>
            <w:tcW w:w="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2F" w14:textId="77777777" w:rsidR="009B59E8" w:rsidRDefault="009B59E8">
            <w:pPr>
              <w:widowControl w:val="0"/>
              <w:jc w:val="center"/>
              <w:rPr>
                <w:sz w:val="20"/>
              </w:rPr>
            </w:pPr>
          </w:p>
        </w:tc>
        <w:tc>
          <w:tcPr>
            <w:tcW w:w="10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30" w14:textId="77777777" w:rsidR="009B59E8" w:rsidRDefault="009B59E8">
            <w:pPr>
              <w:widowControl w:val="0"/>
              <w:jc w:val="center"/>
              <w:rPr>
                <w:sz w:val="20"/>
              </w:rPr>
            </w:pP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31" w14:textId="77777777" w:rsidR="009B59E8" w:rsidRDefault="009B59E8">
            <w:pPr>
              <w:widowControl w:val="0"/>
              <w:jc w:val="center"/>
              <w:rPr>
                <w:sz w:val="20"/>
              </w:rPr>
            </w:pPr>
          </w:p>
        </w:tc>
        <w:tc>
          <w:tcPr>
            <w:tcW w:w="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32" w14:textId="77777777" w:rsidR="009B59E8" w:rsidRDefault="009B59E8">
            <w:pPr>
              <w:widowControl w:val="0"/>
              <w:jc w:val="center"/>
              <w:rPr>
                <w:sz w:val="20"/>
              </w:rPr>
            </w:pPr>
          </w:p>
        </w:tc>
        <w:tc>
          <w:tcPr>
            <w:tcW w:w="7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33" w14:textId="77777777" w:rsidR="009B59E8" w:rsidRDefault="009B59E8">
            <w:pPr>
              <w:widowControl w:val="0"/>
              <w:jc w:val="center"/>
              <w:rPr>
                <w:sz w:val="20"/>
              </w:rPr>
            </w:pP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34" w14:textId="77777777" w:rsidR="009B59E8" w:rsidRDefault="009B59E8">
            <w:pPr>
              <w:widowControl w:val="0"/>
              <w:jc w:val="center"/>
              <w:rPr>
                <w:sz w:val="20"/>
              </w:rPr>
            </w:pP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35" w14:textId="77777777" w:rsidR="009B59E8" w:rsidRDefault="009B59E8">
            <w:pPr>
              <w:widowControl w:val="0"/>
              <w:jc w:val="center"/>
              <w:rPr>
                <w:sz w:val="20"/>
              </w:rPr>
            </w:pPr>
          </w:p>
        </w:tc>
      </w:tr>
    </w:tbl>
    <w:p w14:paraId="63C49C37" w14:textId="77777777" w:rsidR="009B59E8" w:rsidRDefault="009B59E8">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995"/>
        <w:gridCol w:w="810"/>
        <w:gridCol w:w="1575"/>
        <w:gridCol w:w="1035"/>
        <w:gridCol w:w="987"/>
        <w:gridCol w:w="1106"/>
        <w:gridCol w:w="1122"/>
        <w:gridCol w:w="1440"/>
      </w:tblGrid>
      <w:tr w:rsidR="009B59E8" w14:paraId="63C49C3F" w14:textId="77777777">
        <w:trPr>
          <w:trHeight w:val="60"/>
        </w:trPr>
        <w:tc>
          <w:tcPr>
            <w:tcW w:w="99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63C49C38" w14:textId="77777777" w:rsidR="009B59E8" w:rsidRDefault="00BC36F8">
            <w:pPr>
              <w:widowControl w:val="0"/>
              <w:suppressAutoHyphens/>
              <w:jc w:val="center"/>
              <w:rPr>
                <w:color w:val="000000"/>
                <w:sz w:val="20"/>
              </w:rPr>
            </w:pPr>
            <w:r>
              <w:rPr>
                <w:color w:val="000000"/>
                <w:sz w:val="20"/>
              </w:rPr>
              <w:t>Profesinės ligos tyrimo ir patvirtinimo akto data ir Nr.</w:t>
            </w:r>
          </w:p>
        </w:tc>
        <w:tc>
          <w:tcPr>
            <w:tcW w:w="81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63C49C39" w14:textId="77777777" w:rsidR="009B59E8" w:rsidRDefault="00BC36F8">
            <w:pPr>
              <w:widowControl w:val="0"/>
              <w:suppressAutoHyphens/>
              <w:jc w:val="center"/>
              <w:rPr>
                <w:color w:val="000000"/>
                <w:sz w:val="20"/>
              </w:rPr>
            </w:pPr>
            <w:r>
              <w:rPr>
                <w:color w:val="000000"/>
                <w:sz w:val="20"/>
              </w:rPr>
              <w:t xml:space="preserve">Profesinės ligos </w:t>
            </w:r>
            <w:r>
              <w:rPr>
                <w:color w:val="000000"/>
                <w:sz w:val="20"/>
              </w:rPr>
              <w:t>nustatymo data</w:t>
            </w:r>
          </w:p>
        </w:tc>
        <w:tc>
          <w:tcPr>
            <w:tcW w:w="157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63C49C3A" w14:textId="77777777" w:rsidR="009B59E8" w:rsidRDefault="00BC36F8">
            <w:pPr>
              <w:widowControl w:val="0"/>
              <w:suppressAutoHyphens/>
              <w:jc w:val="center"/>
              <w:rPr>
                <w:color w:val="000000"/>
                <w:sz w:val="20"/>
              </w:rPr>
            </w:pPr>
            <w:r>
              <w:rPr>
                <w:color w:val="000000"/>
                <w:sz w:val="20"/>
              </w:rPr>
              <w:t>Sveikatos priežiūros įstaigos, nustačiusios profesinės ligos diagnozę, pavadinimas</w:t>
            </w:r>
          </w:p>
        </w:tc>
        <w:tc>
          <w:tcPr>
            <w:tcW w:w="2022"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63C49C3B" w14:textId="77777777" w:rsidR="009B59E8" w:rsidRDefault="00BC36F8">
            <w:pPr>
              <w:widowControl w:val="0"/>
              <w:suppressAutoHyphens/>
              <w:jc w:val="center"/>
              <w:rPr>
                <w:color w:val="000000"/>
                <w:sz w:val="20"/>
              </w:rPr>
            </w:pPr>
            <w:r>
              <w:rPr>
                <w:color w:val="000000"/>
                <w:sz w:val="20"/>
              </w:rPr>
              <w:t>Profesinės ligos diagnozė (pagrindinė)</w:t>
            </w:r>
          </w:p>
        </w:tc>
        <w:tc>
          <w:tcPr>
            <w:tcW w:w="110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63C49C3C" w14:textId="77777777" w:rsidR="009B59E8" w:rsidRDefault="00BC36F8">
            <w:pPr>
              <w:widowControl w:val="0"/>
              <w:suppressAutoHyphens/>
              <w:jc w:val="center"/>
              <w:rPr>
                <w:color w:val="000000"/>
                <w:sz w:val="20"/>
              </w:rPr>
            </w:pPr>
            <w:r>
              <w:rPr>
                <w:color w:val="000000"/>
                <w:sz w:val="20"/>
              </w:rPr>
              <w:t>Kenksmingi darbo aplinkos veiksniai, susiję su profesinės ligos diagnoze</w:t>
            </w:r>
          </w:p>
        </w:tc>
        <w:tc>
          <w:tcPr>
            <w:tcW w:w="1122"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63C49C3D" w14:textId="77777777" w:rsidR="009B59E8" w:rsidRDefault="00BC36F8">
            <w:pPr>
              <w:widowControl w:val="0"/>
              <w:suppressAutoHyphens/>
              <w:jc w:val="center"/>
              <w:rPr>
                <w:color w:val="000000"/>
                <w:sz w:val="20"/>
              </w:rPr>
            </w:pPr>
            <w:r>
              <w:rPr>
                <w:color w:val="000000"/>
                <w:sz w:val="20"/>
              </w:rPr>
              <w:t>Profesinės ligos priežastys pagal Europos prof</w:t>
            </w:r>
            <w:r>
              <w:rPr>
                <w:color w:val="000000"/>
                <w:sz w:val="20"/>
              </w:rPr>
              <w:t>esinių ligų priežasčių sąrašą</w:t>
            </w:r>
          </w:p>
        </w:tc>
        <w:tc>
          <w:tcPr>
            <w:tcW w:w="144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63C49C3E" w14:textId="77777777" w:rsidR="009B59E8" w:rsidRDefault="00BC36F8">
            <w:pPr>
              <w:widowControl w:val="0"/>
              <w:suppressAutoHyphens/>
              <w:jc w:val="center"/>
              <w:rPr>
                <w:color w:val="000000"/>
                <w:sz w:val="20"/>
              </w:rPr>
            </w:pPr>
            <w:r>
              <w:rPr>
                <w:color w:val="000000"/>
                <w:sz w:val="20"/>
              </w:rPr>
              <w:t>Profesinės rizikos prevencijos priemonės ir jų įvykdymo terminai</w:t>
            </w:r>
          </w:p>
        </w:tc>
      </w:tr>
      <w:tr w:rsidR="009B59E8" w14:paraId="63C49C48" w14:textId="77777777">
        <w:trPr>
          <w:trHeight w:val="1268"/>
        </w:trPr>
        <w:tc>
          <w:tcPr>
            <w:tcW w:w="995" w:type="dxa"/>
            <w:vMerge/>
            <w:tcBorders>
              <w:top w:val="nil"/>
              <w:left w:val="single" w:sz="4" w:space="0" w:color="000000"/>
              <w:bottom w:val="single" w:sz="4" w:space="0" w:color="000000"/>
              <w:right w:val="single" w:sz="4" w:space="0" w:color="000000"/>
            </w:tcBorders>
          </w:tcPr>
          <w:p w14:paraId="63C49C40" w14:textId="77777777" w:rsidR="009B59E8" w:rsidRDefault="009B59E8">
            <w:pPr>
              <w:widowControl w:val="0"/>
              <w:jc w:val="center"/>
              <w:rPr>
                <w:sz w:val="20"/>
              </w:rPr>
            </w:pPr>
          </w:p>
        </w:tc>
        <w:tc>
          <w:tcPr>
            <w:tcW w:w="810" w:type="dxa"/>
            <w:vMerge/>
            <w:tcBorders>
              <w:top w:val="nil"/>
              <w:left w:val="single" w:sz="4" w:space="0" w:color="000000"/>
              <w:bottom w:val="single" w:sz="4" w:space="0" w:color="000000"/>
              <w:right w:val="single" w:sz="4" w:space="0" w:color="000000"/>
            </w:tcBorders>
          </w:tcPr>
          <w:p w14:paraId="63C49C41" w14:textId="77777777" w:rsidR="009B59E8" w:rsidRDefault="009B59E8">
            <w:pPr>
              <w:widowControl w:val="0"/>
              <w:jc w:val="center"/>
              <w:rPr>
                <w:sz w:val="20"/>
              </w:rPr>
            </w:pPr>
          </w:p>
        </w:tc>
        <w:tc>
          <w:tcPr>
            <w:tcW w:w="1575" w:type="dxa"/>
            <w:vMerge/>
            <w:tcBorders>
              <w:top w:val="nil"/>
              <w:left w:val="single" w:sz="4" w:space="0" w:color="000000"/>
              <w:bottom w:val="single" w:sz="4" w:space="0" w:color="000000"/>
              <w:right w:val="single" w:sz="4" w:space="0" w:color="000000"/>
            </w:tcBorders>
          </w:tcPr>
          <w:p w14:paraId="63C49C42" w14:textId="77777777" w:rsidR="009B59E8" w:rsidRDefault="009B59E8">
            <w:pPr>
              <w:widowControl w:val="0"/>
              <w:jc w:val="center"/>
              <w:rPr>
                <w:sz w:val="20"/>
              </w:rPr>
            </w:pP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C49C43" w14:textId="77777777" w:rsidR="009B59E8" w:rsidRDefault="00BC36F8">
            <w:pPr>
              <w:widowControl w:val="0"/>
              <w:suppressAutoHyphens/>
              <w:jc w:val="center"/>
              <w:rPr>
                <w:color w:val="000000"/>
                <w:sz w:val="20"/>
              </w:rPr>
            </w:pPr>
            <w:r>
              <w:rPr>
                <w:color w:val="000000"/>
                <w:sz w:val="20"/>
              </w:rPr>
              <w:t>diagnozė (žodžiais pagal TLK-10-AM)</w:t>
            </w:r>
          </w:p>
        </w:tc>
        <w:tc>
          <w:tcPr>
            <w:tcW w:w="9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C49C44" w14:textId="77777777" w:rsidR="009B59E8" w:rsidRDefault="00BC36F8">
            <w:pPr>
              <w:widowControl w:val="0"/>
              <w:suppressAutoHyphens/>
              <w:jc w:val="center"/>
              <w:rPr>
                <w:color w:val="000000"/>
                <w:sz w:val="20"/>
              </w:rPr>
            </w:pPr>
            <w:r>
              <w:rPr>
                <w:color w:val="000000"/>
                <w:sz w:val="20"/>
              </w:rPr>
              <w:t>kodas (pagal TLK-10-AM)</w:t>
            </w:r>
          </w:p>
        </w:tc>
        <w:tc>
          <w:tcPr>
            <w:tcW w:w="1106" w:type="dxa"/>
            <w:vMerge/>
            <w:tcBorders>
              <w:top w:val="nil"/>
              <w:left w:val="single" w:sz="4" w:space="0" w:color="000000"/>
              <w:bottom w:val="single" w:sz="4" w:space="0" w:color="000000"/>
              <w:right w:val="single" w:sz="4" w:space="0" w:color="000000"/>
            </w:tcBorders>
          </w:tcPr>
          <w:p w14:paraId="63C49C45" w14:textId="77777777" w:rsidR="009B59E8" w:rsidRDefault="009B59E8">
            <w:pPr>
              <w:widowControl w:val="0"/>
              <w:jc w:val="center"/>
              <w:rPr>
                <w:sz w:val="20"/>
              </w:rPr>
            </w:pPr>
          </w:p>
        </w:tc>
        <w:tc>
          <w:tcPr>
            <w:tcW w:w="1122" w:type="dxa"/>
            <w:vMerge/>
            <w:tcBorders>
              <w:top w:val="nil"/>
              <w:left w:val="single" w:sz="4" w:space="0" w:color="000000"/>
              <w:bottom w:val="single" w:sz="4" w:space="0" w:color="000000"/>
              <w:right w:val="single" w:sz="4" w:space="0" w:color="000000"/>
            </w:tcBorders>
          </w:tcPr>
          <w:p w14:paraId="63C49C46" w14:textId="77777777" w:rsidR="009B59E8" w:rsidRDefault="009B59E8">
            <w:pPr>
              <w:widowControl w:val="0"/>
              <w:jc w:val="center"/>
              <w:rPr>
                <w:sz w:val="20"/>
              </w:rPr>
            </w:pPr>
          </w:p>
        </w:tc>
        <w:tc>
          <w:tcPr>
            <w:tcW w:w="1440" w:type="dxa"/>
            <w:vMerge/>
            <w:tcBorders>
              <w:top w:val="nil"/>
              <w:left w:val="single" w:sz="4" w:space="0" w:color="000000"/>
              <w:bottom w:val="single" w:sz="4" w:space="0" w:color="000000"/>
              <w:right w:val="single" w:sz="4" w:space="0" w:color="000000"/>
            </w:tcBorders>
          </w:tcPr>
          <w:p w14:paraId="63C49C47" w14:textId="77777777" w:rsidR="009B59E8" w:rsidRDefault="009B59E8">
            <w:pPr>
              <w:widowControl w:val="0"/>
              <w:jc w:val="center"/>
              <w:rPr>
                <w:sz w:val="20"/>
              </w:rPr>
            </w:pPr>
          </w:p>
        </w:tc>
      </w:tr>
      <w:tr w:rsidR="009B59E8" w14:paraId="63C49C51" w14:textId="77777777">
        <w:trPr>
          <w:trHeight w:val="60"/>
        </w:trPr>
        <w:tc>
          <w:tcPr>
            <w:tcW w:w="9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49" w14:textId="77777777" w:rsidR="009B59E8" w:rsidRDefault="00BC36F8">
            <w:pPr>
              <w:widowControl w:val="0"/>
              <w:suppressAutoHyphens/>
              <w:jc w:val="center"/>
              <w:rPr>
                <w:color w:val="000000"/>
                <w:sz w:val="20"/>
              </w:rPr>
            </w:pPr>
            <w:r>
              <w:rPr>
                <w:color w:val="000000"/>
                <w:sz w:val="20"/>
              </w:rPr>
              <w:t>11</w:t>
            </w:r>
          </w:p>
        </w:tc>
        <w:tc>
          <w:tcPr>
            <w:tcW w:w="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4A" w14:textId="77777777" w:rsidR="009B59E8" w:rsidRDefault="00BC36F8">
            <w:pPr>
              <w:widowControl w:val="0"/>
              <w:suppressAutoHyphens/>
              <w:jc w:val="center"/>
              <w:rPr>
                <w:color w:val="000000"/>
                <w:sz w:val="20"/>
              </w:rPr>
            </w:pPr>
            <w:r>
              <w:rPr>
                <w:color w:val="000000"/>
                <w:sz w:val="20"/>
              </w:rPr>
              <w:t>12</w:t>
            </w:r>
          </w:p>
        </w:tc>
        <w:tc>
          <w:tcPr>
            <w:tcW w:w="1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4B" w14:textId="77777777" w:rsidR="009B59E8" w:rsidRDefault="00BC36F8">
            <w:pPr>
              <w:widowControl w:val="0"/>
              <w:suppressAutoHyphens/>
              <w:jc w:val="center"/>
              <w:rPr>
                <w:color w:val="000000"/>
                <w:sz w:val="20"/>
              </w:rPr>
            </w:pPr>
            <w:r>
              <w:rPr>
                <w:color w:val="000000"/>
                <w:sz w:val="20"/>
              </w:rPr>
              <w:t>13</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4C" w14:textId="77777777" w:rsidR="009B59E8" w:rsidRDefault="00BC36F8">
            <w:pPr>
              <w:widowControl w:val="0"/>
              <w:suppressAutoHyphens/>
              <w:jc w:val="center"/>
              <w:rPr>
                <w:color w:val="000000"/>
                <w:sz w:val="20"/>
              </w:rPr>
            </w:pPr>
            <w:r>
              <w:rPr>
                <w:color w:val="000000"/>
                <w:sz w:val="20"/>
              </w:rPr>
              <w:t>14</w:t>
            </w:r>
          </w:p>
        </w:tc>
        <w:tc>
          <w:tcPr>
            <w:tcW w:w="9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4D" w14:textId="77777777" w:rsidR="009B59E8" w:rsidRDefault="00BC36F8">
            <w:pPr>
              <w:widowControl w:val="0"/>
              <w:suppressAutoHyphens/>
              <w:jc w:val="center"/>
              <w:rPr>
                <w:color w:val="000000"/>
                <w:sz w:val="20"/>
              </w:rPr>
            </w:pPr>
            <w:r>
              <w:rPr>
                <w:color w:val="000000"/>
                <w:sz w:val="20"/>
              </w:rPr>
              <w:t>15</w:t>
            </w:r>
          </w:p>
        </w:tc>
        <w:tc>
          <w:tcPr>
            <w:tcW w:w="11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4E" w14:textId="77777777" w:rsidR="009B59E8" w:rsidRDefault="00BC36F8">
            <w:pPr>
              <w:widowControl w:val="0"/>
              <w:suppressAutoHyphens/>
              <w:jc w:val="center"/>
              <w:rPr>
                <w:color w:val="000000"/>
                <w:sz w:val="20"/>
              </w:rPr>
            </w:pPr>
            <w:r>
              <w:rPr>
                <w:color w:val="000000"/>
                <w:sz w:val="20"/>
              </w:rPr>
              <w:t>16</w:t>
            </w:r>
          </w:p>
        </w:tc>
        <w:tc>
          <w:tcPr>
            <w:tcW w:w="11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4F" w14:textId="77777777" w:rsidR="009B59E8" w:rsidRDefault="00BC36F8">
            <w:pPr>
              <w:widowControl w:val="0"/>
              <w:suppressAutoHyphens/>
              <w:jc w:val="center"/>
              <w:rPr>
                <w:color w:val="000000"/>
                <w:sz w:val="20"/>
              </w:rPr>
            </w:pPr>
            <w:r>
              <w:rPr>
                <w:color w:val="000000"/>
                <w:sz w:val="20"/>
              </w:rPr>
              <w:t>17</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50" w14:textId="77777777" w:rsidR="009B59E8" w:rsidRDefault="00BC36F8">
            <w:pPr>
              <w:widowControl w:val="0"/>
              <w:suppressAutoHyphens/>
              <w:jc w:val="center"/>
              <w:rPr>
                <w:color w:val="000000"/>
                <w:sz w:val="20"/>
              </w:rPr>
            </w:pPr>
            <w:r>
              <w:rPr>
                <w:color w:val="000000"/>
                <w:sz w:val="20"/>
              </w:rPr>
              <w:t>18</w:t>
            </w:r>
          </w:p>
        </w:tc>
      </w:tr>
      <w:tr w:rsidR="009B59E8" w14:paraId="63C49C5A" w14:textId="77777777">
        <w:trPr>
          <w:trHeight w:val="60"/>
        </w:trPr>
        <w:tc>
          <w:tcPr>
            <w:tcW w:w="9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52" w14:textId="77777777" w:rsidR="009B59E8" w:rsidRDefault="009B59E8">
            <w:pPr>
              <w:widowControl w:val="0"/>
              <w:jc w:val="center"/>
              <w:rPr>
                <w:sz w:val="20"/>
              </w:rPr>
            </w:pPr>
          </w:p>
        </w:tc>
        <w:tc>
          <w:tcPr>
            <w:tcW w:w="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53" w14:textId="77777777" w:rsidR="009B59E8" w:rsidRDefault="009B59E8">
            <w:pPr>
              <w:widowControl w:val="0"/>
              <w:jc w:val="center"/>
              <w:rPr>
                <w:sz w:val="20"/>
              </w:rPr>
            </w:pPr>
          </w:p>
        </w:tc>
        <w:tc>
          <w:tcPr>
            <w:tcW w:w="1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54" w14:textId="77777777" w:rsidR="009B59E8" w:rsidRDefault="009B59E8">
            <w:pPr>
              <w:widowControl w:val="0"/>
              <w:jc w:val="center"/>
              <w:rPr>
                <w:sz w:val="20"/>
              </w:rPr>
            </w:pP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55" w14:textId="77777777" w:rsidR="009B59E8" w:rsidRDefault="009B59E8">
            <w:pPr>
              <w:widowControl w:val="0"/>
              <w:jc w:val="center"/>
              <w:rPr>
                <w:sz w:val="20"/>
              </w:rPr>
            </w:pPr>
          </w:p>
        </w:tc>
        <w:tc>
          <w:tcPr>
            <w:tcW w:w="9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56" w14:textId="77777777" w:rsidR="009B59E8" w:rsidRDefault="009B59E8">
            <w:pPr>
              <w:widowControl w:val="0"/>
              <w:jc w:val="center"/>
              <w:rPr>
                <w:sz w:val="20"/>
              </w:rPr>
            </w:pPr>
          </w:p>
        </w:tc>
        <w:tc>
          <w:tcPr>
            <w:tcW w:w="11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57" w14:textId="77777777" w:rsidR="009B59E8" w:rsidRDefault="009B59E8">
            <w:pPr>
              <w:widowControl w:val="0"/>
              <w:jc w:val="center"/>
              <w:rPr>
                <w:sz w:val="20"/>
              </w:rPr>
            </w:pPr>
          </w:p>
        </w:tc>
        <w:tc>
          <w:tcPr>
            <w:tcW w:w="11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58" w14:textId="77777777" w:rsidR="009B59E8" w:rsidRDefault="009B59E8">
            <w:pPr>
              <w:widowControl w:val="0"/>
              <w:jc w:val="center"/>
              <w:rPr>
                <w:sz w:val="20"/>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C49C59" w14:textId="77777777" w:rsidR="009B59E8" w:rsidRDefault="009B59E8">
            <w:pPr>
              <w:widowControl w:val="0"/>
              <w:jc w:val="center"/>
              <w:rPr>
                <w:sz w:val="20"/>
              </w:rPr>
            </w:pPr>
          </w:p>
        </w:tc>
      </w:tr>
    </w:tbl>
    <w:p w14:paraId="63C49C5B" w14:textId="04F6E851" w:rsidR="009B59E8" w:rsidRDefault="009B59E8">
      <w:pPr>
        <w:widowControl w:val="0"/>
        <w:suppressAutoHyphens/>
        <w:ind w:firstLine="567"/>
        <w:jc w:val="both"/>
        <w:rPr>
          <w:color w:val="000000"/>
        </w:rPr>
      </w:pPr>
    </w:p>
    <w:p w14:paraId="63C49C5E" w14:textId="18C269DB" w:rsidR="009B59E8" w:rsidRDefault="00BC36F8" w:rsidP="00BC36F8">
      <w:pPr>
        <w:widowControl w:val="0"/>
        <w:suppressAutoHyphens/>
        <w:jc w:val="center"/>
      </w:pPr>
      <w:r>
        <w:rPr>
          <w:color w:val="000000"/>
        </w:rPr>
        <w:t>_________________</w:t>
      </w:r>
    </w:p>
    <w:bookmarkStart w:id="0" w:name="_GoBack" w:displacedByCustomXml="next"/>
    <w:bookmarkEnd w:id="0" w:displacedByCustomXml="next"/>
    <w:sectPr w:rsidR="009B59E8">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49C62" w14:textId="77777777" w:rsidR="009B59E8" w:rsidRDefault="00BC36F8">
      <w:r>
        <w:separator/>
      </w:r>
    </w:p>
  </w:endnote>
  <w:endnote w:type="continuationSeparator" w:id="0">
    <w:p w14:paraId="63C49C63" w14:textId="77777777" w:rsidR="009B59E8" w:rsidRDefault="00BC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9C66" w14:textId="77777777" w:rsidR="009B59E8" w:rsidRDefault="009B59E8">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9C67" w14:textId="77777777" w:rsidR="009B59E8" w:rsidRDefault="009B59E8">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9C69" w14:textId="77777777" w:rsidR="009B59E8" w:rsidRDefault="009B59E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49C60" w14:textId="77777777" w:rsidR="009B59E8" w:rsidRDefault="00BC36F8">
      <w:r>
        <w:separator/>
      </w:r>
    </w:p>
  </w:footnote>
  <w:footnote w:type="continuationSeparator" w:id="0">
    <w:p w14:paraId="63C49C61" w14:textId="77777777" w:rsidR="009B59E8" w:rsidRDefault="00BC3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9C64" w14:textId="77777777" w:rsidR="009B59E8" w:rsidRDefault="009B59E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9C65" w14:textId="77777777" w:rsidR="009B59E8" w:rsidRDefault="009B59E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9C68" w14:textId="77777777" w:rsidR="009B59E8" w:rsidRDefault="009B59E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81"/>
    <w:rsid w:val="00324481"/>
    <w:rsid w:val="009B59E8"/>
    <w:rsid w:val="00BC36F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C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36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36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4551A50A76D"/>
  <Relationship Id="rId11" Type="http://schemas.openxmlformats.org/officeDocument/2006/relationships/hyperlink" TargetMode="External" Target="https://www.e-tar.lt/portal/lt/legalAct/TAR.2103F4ECD013"/>
  <Relationship Id="rId12" Type="http://schemas.openxmlformats.org/officeDocument/2006/relationships/hyperlink" TargetMode="External" Target="https://www.e-tar.lt/portal/lt/legalAct/TAR.40954BA5F904"/>
  <Relationship Id="rId13" Type="http://schemas.openxmlformats.org/officeDocument/2006/relationships/hyperlink" TargetMode="External" Target="https://www.e-tar.lt/portal/lt/legalAct/TAR.83FAAA0784C8"/>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AA"/>
    <w:rsid w:val="00FC42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42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42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4646</Words>
  <Characters>2649</Characters>
  <Application>Microsoft Office Word</Application>
  <DocSecurity>0</DocSecurity>
  <Lines>22</Lines>
  <Paragraphs>14</Paragraphs>
  <ScaleCrop>false</ScaleCrop>
  <Company/>
  <LinksUpToDate>false</LinksUpToDate>
  <CharactersWithSpaces>7281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2015-09-02T01:29:00Z</dcterms:created>
  <dc:creator>Rima</dc:creator>
  <lastModifiedBy>BODIN Aušra</lastModifiedBy>
  <dcterms:modified xsi:type="dcterms:W3CDTF">2016-01-18T07:13:00Z</dcterms:modified>
  <revision>3</revision>
  <dc:title>LIETUVOS RESPUBLIKOS VYRIAUSYBĖS</dc:title>
</coreProperties>
</file>