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6C4CE" w14:textId="77777777" w:rsidR="007803A8" w:rsidRDefault="009D48E5">
      <w:pPr>
        <w:jc w:val="center"/>
      </w:pPr>
      <w:r>
        <w:pict w14:anchorId="5BC6C52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POLICIJOS GENERALINIO KOMISARO </w:t>
      </w:r>
    </w:p>
    <w:p w14:paraId="5BC6C4CF" w14:textId="77777777" w:rsidR="007803A8" w:rsidRDefault="009D48E5">
      <w:pPr>
        <w:jc w:val="center"/>
        <w:rPr>
          <w:spacing w:val="60"/>
        </w:rPr>
      </w:pPr>
      <w:r>
        <w:rPr>
          <w:spacing w:val="60"/>
        </w:rPr>
        <w:t>ĮSAKYMAS</w:t>
      </w:r>
    </w:p>
    <w:p w14:paraId="5BC6C4D0" w14:textId="77777777" w:rsidR="007803A8" w:rsidRDefault="007803A8">
      <w:pPr>
        <w:jc w:val="center"/>
        <w:rPr>
          <w:spacing w:val="60"/>
        </w:rPr>
      </w:pPr>
    </w:p>
    <w:p w14:paraId="5BC6C4D1" w14:textId="77777777" w:rsidR="007803A8" w:rsidRDefault="009D48E5">
      <w:pPr>
        <w:jc w:val="center"/>
        <w:rPr>
          <w:b/>
          <w:bCs/>
        </w:rPr>
      </w:pPr>
      <w:r>
        <w:rPr>
          <w:b/>
          <w:bCs/>
        </w:rPr>
        <w:t>DĖL LIETUVOS POLICIJOS GENERALINIO KOMISARO 2003 M. BIRŽELIO 23 D. ĮSAKYMO NR. V-362 „DĖL FIZINIŲ ASMENŲ GINKLŲ IR ŠAUDMENŲ CIVILINĖS APYVARTOS IR JOS KONTROLĖS TAISYKLIŲ</w:t>
      </w:r>
      <w:r>
        <w:rPr>
          <w:b/>
          <w:bCs/>
        </w:rPr>
        <w:t xml:space="preserve"> PATVIRTINIMO“ PAKEITIMO</w:t>
      </w:r>
    </w:p>
    <w:p w14:paraId="5BC6C4D2" w14:textId="77777777" w:rsidR="007803A8" w:rsidRDefault="007803A8">
      <w:pPr>
        <w:jc w:val="center"/>
      </w:pPr>
    </w:p>
    <w:p w14:paraId="5BC6C4D3" w14:textId="77777777" w:rsidR="007803A8" w:rsidRDefault="009D48E5">
      <w:pPr>
        <w:jc w:val="center"/>
      </w:pPr>
      <w:r>
        <w:t>2008 m. rugsėjo 3 d. Nr. 5-V-498</w:t>
      </w:r>
    </w:p>
    <w:p w14:paraId="5BC6C4D4" w14:textId="77777777" w:rsidR="007803A8" w:rsidRDefault="009D48E5">
      <w:pPr>
        <w:jc w:val="center"/>
      </w:pPr>
      <w:r>
        <w:t>Vilnius</w:t>
      </w:r>
    </w:p>
    <w:p w14:paraId="5BC6C4D5" w14:textId="77777777" w:rsidR="007803A8" w:rsidRDefault="007803A8">
      <w:pPr>
        <w:ind w:firstLine="567"/>
        <w:jc w:val="both"/>
      </w:pPr>
    </w:p>
    <w:p w14:paraId="5BC6C4D6" w14:textId="77777777" w:rsidR="007803A8" w:rsidRDefault="009D48E5">
      <w:pPr>
        <w:ind w:firstLine="567"/>
        <w:jc w:val="both"/>
      </w:pPr>
      <w:r>
        <w:t xml:space="preserve">Vadovaudamasis Lietuvos Respublikos ginklų ir šaudmenų kontrolės įstatymo 1, 2, 3, 6, 7, 8, 11, 12, 13, 14, 15, 16, 17, 18, 19, 20, 21, 22, 23, 24, 25, 26, 27, 28, 30, 31, 33, 36, 37, 38, </w:t>
      </w:r>
      <w:r>
        <w:t xml:space="preserve">40, 41 straipsnių pakeitimo ir papildymo bei įstatymo papildymo priedu įstatymu (Žin., 2007, Nr. </w:t>
      </w:r>
      <w:hyperlink r:id="rId8" w:tgtFrame="_blank" w:history="1">
        <w:r>
          <w:rPr>
            <w:color w:val="0000FF" w:themeColor="hyperlink"/>
            <w:u w:val="single"/>
          </w:rPr>
          <w:t>135-5452</w:t>
        </w:r>
      </w:hyperlink>
      <w:r>
        <w:t>),</w:t>
      </w:r>
    </w:p>
    <w:p w14:paraId="5BC6C4D7" w14:textId="77777777" w:rsidR="007803A8" w:rsidRDefault="009D48E5">
      <w:pPr>
        <w:ind w:firstLine="567"/>
        <w:jc w:val="both"/>
      </w:pPr>
      <w:r>
        <w:rPr>
          <w:spacing w:val="60"/>
        </w:rPr>
        <w:t>pakeičiu</w:t>
      </w:r>
      <w:r>
        <w:t xml:space="preserve"> Lietuvos policijos generalinio komisaro 2003 m. birželio 2</w:t>
      </w:r>
      <w:r>
        <w:t xml:space="preserve">3 d. įsakymą Nr. V-362 „Dėl Fizinių asmenų ginklų ir šaudmenų civilinės apyvartos ir jos kontrolės taisyklių patvirtinimo“ (Žin., 2003, Nr. </w:t>
      </w:r>
      <w:hyperlink r:id="rId9" w:tgtFrame="_blank" w:history="1">
        <w:r>
          <w:rPr>
            <w:color w:val="0000FF" w:themeColor="hyperlink"/>
            <w:u w:val="single"/>
          </w:rPr>
          <w:t>63-2875</w:t>
        </w:r>
      </w:hyperlink>
      <w:r>
        <w:t xml:space="preserve">; 2003, Nr. </w:t>
      </w:r>
      <w:hyperlink r:id="rId10" w:tgtFrame="_blank" w:history="1">
        <w:r>
          <w:rPr>
            <w:color w:val="0000FF" w:themeColor="hyperlink"/>
            <w:u w:val="single"/>
          </w:rPr>
          <w:t>90-4099</w:t>
        </w:r>
      </w:hyperlink>
      <w:r>
        <w:t xml:space="preserve">; 2004, Nr. </w:t>
      </w:r>
      <w:hyperlink r:id="rId11" w:tgtFrame="_blank" w:history="1">
        <w:r>
          <w:rPr>
            <w:color w:val="0000FF" w:themeColor="hyperlink"/>
            <w:u w:val="single"/>
          </w:rPr>
          <w:t>137-5023</w:t>
        </w:r>
      </w:hyperlink>
      <w:r>
        <w:t xml:space="preserve">; 2005, Nr. </w:t>
      </w:r>
      <w:hyperlink r:id="rId12" w:tgtFrame="_blank" w:history="1">
        <w:r>
          <w:rPr>
            <w:color w:val="0000FF" w:themeColor="hyperlink"/>
            <w:u w:val="single"/>
          </w:rPr>
          <w:t>1-15</w:t>
        </w:r>
      </w:hyperlink>
      <w:r>
        <w:t>):</w:t>
      </w:r>
    </w:p>
    <w:p w14:paraId="5BC6C4D8" w14:textId="77777777" w:rsidR="007803A8" w:rsidRDefault="009D48E5">
      <w:pPr>
        <w:ind w:firstLine="567"/>
        <w:jc w:val="both"/>
      </w:pPr>
      <w:r>
        <w:t>1</w:t>
      </w:r>
      <w:r>
        <w:t>. Išdėstau preambulę taip:</w:t>
      </w:r>
    </w:p>
    <w:p w14:paraId="5BC6C4D9" w14:textId="77777777" w:rsidR="007803A8" w:rsidRDefault="009D48E5">
      <w:pPr>
        <w:ind w:firstLine="567"/>
        <w:jc w:val="both"/>
      </w:pPr>
      <w:r>
        <w:t xml:space="preserve">„Vadovaudamasis Lietuvos Respublikos Vyriausybės 2002 m. liepos 10 d. nutarimo Nr. 1108 „Dėl Lietuvos Respublikos ginklų ir šaudmenų kontrolės įstatymo įgyvendinimo“ (Žin., 2002, Nr. </w:t>
      </w:r>
      <w:hyperlink r:id="rId13" w:tgtFrame="_blank" w:history="1">
        <w:r>
          <w:rPr>
            <w:color w:val="0000FF" w:themeColor="hyperlink"/>
            <w:u w:val="single"/>
          </w:rPr>
          <w:t>72-3056</w:t>
        </w:r>
      </w:hyperlink>
      <w:r>
        <w:t xml:space="preserve">) 2.3.1 punktu ir Lietuvos Respublikos Vyriausybės 2008 m. birželio 11 d. nutarimo Nr. 570 „Dėl Lietuvos Respublikos ginklų ir šaudmenų kontrolės įstatymo įgyvendinimo“ (Žin., 2008, Nr. </w:t>
      </w:r>
      <w:hyperlink r:id="rId14" w:tgtFrame="_blank" w:history="1">
        <w:r>
          <w:rPr>
            <w:color w:val="0000FF" w:themeColor="hyperlink"/>
            <w:u w:val="single"/>
          </w:rPr>
          <w:t>70-2661</w:t>
        </w:r>
      </w:hyperlink>
      <w:r>
        <w:t>) 1 punktu:“.</w:t>
      </w:r>
    </w:p>
    <w:p w14:paraId="5BC6C4DA" w14:textId="77777777" w:rsidR="007803A8" w:rsidRDefault="009D48E5">
      <w:pPr>
        <w:ind w:firstLine="567"/>
        <w:jc w:val="both"/>
      </w:pPr>
      <w:r>
        <w:t>2</w:t>
      </w:r>
      <w:r>
        <w:t>. Nurodytuoju įsakymu patvirtintose Fizinių asmenų ginklų ir šaudmenų civilinės apyvartos ir jos kontrolės taisyklėse (toliau – taisyklės):</w:t>
      </w:r>
    </w:p>
    <w:p w14:paraId="5BC6C4DB" w14:textId="77777777" w:rsidR="007803A8" w:rsidRDefault="009D48E5">
      <w:pPr>
        <w:ind w:firstLine="567"/>
        <w:jc w:val="both"/>
      </w:pPr>
      <w:r>
        <w:t>2.1</w:t>
      </w:r>
      <w:r>
        <w:t>. išdėstau 1 punkt</w:t>
      </w:r>
      <w:r>
        <w:t>ą taip:</w:t>
      </w:r>
    </w:p>
    <w:p w14:paraId="5BC6C4DC" w14:textId="77777777" w:rsidR="007803A8" w:rsidRDefault="009D48E5">
      <w:pPr>
        <w:ind w:firstLine="567"/>
        <w:jc w:val="both"/>
      </w:pPr>
      <w:r>
        <w:t>„</w:t>
      </w:r>
      <w:r>
        <w:t>1</w:t>
      </w:r>
      <w:r>
        <w:t>. Fizinių asmenų ginklų ir šaudmenų civilinės apyvartos ir jos kontrolės taisyklės (toliau – taisyklės) nustato Lietuvos Respublikos nuolatinių gyventojų ir užsieniečių, nurodytų Lietuvos Respublikos ginklų ir šaudmenų kontrolės įstatymo (toliau – Įstatyma</w:t>
      </w:r>
      <w:r>
        <w:t xml:space="preserve">s) (Žin., 2002, Nr. </w:t>
      </w:r>
      <w:hyperlink r:id="rId15" w:tgtFrame="_blank" w:history="1">
        <w:r>
          <w:rPr>
            <w:color w:val="0000FF" w:themeColor="hyperlink"/>
            <w:u w:val="single"/>
          </w:rPr>
          <w:t>13-467</w:t>
        </w:r>
      </w:hyperlink>
      <w:r>
        <w:t xml:space="preserve">; 2007, Nr. </w:t>
      </w:r>
      <w:hyperlink r:id="rId16" w:tgtFrame="_blank" w:history="1">
        <w:r>
          <w:rPr>
            <w:color w:val="0000FF" w:themeColor="hyperlink"/>
            <w:u w:val="single"/>
          </w:rPr>
          <w:t>135-5452</w:t>
        </w:r>
      </w:hyperlink>
      <w:r>
        <w:t>) 14 straipsnio 1 dalyje (toliau – asmenys), B, C ka</w:t>
      </w:r>
      <w:r>
        <w:t>tegorijų šaunamųjų ginklų ir D kategorijos vienašūvių ilgųjų lygiavamzdžių šaunamųjų ginklų, skirtų medžioklei, savigynai, sportui, jų dalių, šaudmenų apyvartos ir jos kontrolės tvarką, leidimų įsigyti ginklus užsieniečiams, nurodytiems Įstatymo 14 straips</w:t>
      </w:r>
      <w:r>
        <w:t>nio 2 dalyje (toliau – užsieniečiai), išdavimo ir kontrolės tvarką, taip pat nustato fizinių asmenų, kurie verčiasi ginklų, šaudmenų, jų dalių, ginklų priedėlių tarpininko veikla, ginklų civilinės apyvartos ir jos kontrolės tvarką. Šios taisyklės fizinių a</w:t>
      </w:r>
      <w:r>
        <w:t>smenų ginklų ir šaudmenų civilinę apyvartą ir jos kontrolę reguliuoja tiek, kiek atskirų ginklų ir šaudmenų civilinės apyvartos veiksmų ir jų kontrolės nereguliuoja kiti ginklų ir šaudmenų apyvartą reglamentuojantys teisės aktai.“;</w:t>
      </w:r>
    </w:p>
    <w:p w14:paraId="5BC6C4DD" w14:textId="77777777" w:rsidR="007803A8" w:rsidRDefault="009D48E5">
      <w:pPr>
        <w:ind w:firstLine="567"/>
        <w:jc w:val="both"/>
      </w:pPr>
      <w:r>
        <w:t>2.2</w:t>
      </w:r>
      <w:r>
        <w:t>. įrašau nauj</w:t>
      </w:r>
      <w:r>
        <w:t>ą 7</w:t>
      </w:r>
      <w:r>
        <w:rPr>
          <w:vertAlign w:val="superscript"/>
        </w:rPr>
        <w:t>1</w:t>
      </w:r>
      <w:r>
        <w:t xml:space="preserve"> punktą:</w:t>
      </w:r>
    </w:p>
    <w:p w14:paraId="5BC6C4DE" w14:textId="77777777" w:rsidR="007803A8" w:rsidRDefault="009D48E5">
      <w:pPr>
        <w:ind w:firstLine="567"/>
        <w:jc w:val="both"/>
      </w:pPr>
      <w:r>
        <w:t>„</w:t>
      </w:r>
      <w:r>
        <w:t>7</w:t>
      </w:r>
      <w:r>
        <w:rPr>
          <w:vertAlign w:val="superscript"/>
        </w:rPr>
        <w:t>1</w:t>
      </w:r>
      <w:r>
        <w:t>. Profesinei veiklai skirtus šautuvus ir pistoletus injekcijoms, leidžiančius atlikti injekciją iš tam tikro atstumo, jų šovinius gali įsigyti ir turėti fiziniai asmenys, gavę leidimą.“;</w:t>
      </w:r>
    </w:p>
    <w:p w14:paraId="5BC6C4DF" w14:textId="77777777" w:rsidR="007803A8" w:rsidRDefault="009D48E5">
      <w:pPr>
        <w:ind w:firstLine="567"/>
        <w:jc w:val="both"/>
      </w:pPr>
      <w:r>
        <w:t>2.3</w:t>
      </w:r>
      <w:r>
        <w:t>. įrašau naują 9</w:t>
      </w:r>
      <w:r>
        <w:rPr>
          <w:vertAlign w:val="superscript"/>
        </w:rPr>
        <w:t>1</w:t>
      </w:r>
      <w:r>
        <w:t xml:space="preserve"> punktą:</w:t>
      </w:r>
    </w:p>
    <w:p w14:paraId="5BC6C4E0" w14:textId="77777777" w:rsidR="007803A8" w:rsidRDefault="009D48E5">
      <w:pPr>
        <w:ind w:firstLine="567"/>
        <w:jc w:val="both"/>
      </w:pPr>
      <w:r>
        <w:t>„</w:t>
      </w:r>
      <w:r>
        <w:t>9</w:t>
      </w:r>
      <w:r>
        <w:rPr>
          <w:vertAlign w:val="superscript"/>
        </w:rPr>
        <w:t>1</w:t>
      </w:r>
      <w:r>
        <w:t>. Fizinis</w:t>
      </w:r>
      <w:r>
        <w:t xml:space="preserve"> asmuo (tarpininkas) verčiasi ginklų, šaudmenų, jų dalių, ginklų priedėlių tarpininko veikla Lietuvos policijos generalinio komisaro 2003 m. birželio 23 d. įsakymu Nr. V-363 patvirtintų Juridinių asmenų ginklų ir šaudmenų civilinės apyvartos ir jos kontrol</w:t>
      </w:r>
      <w:r>
        <w:t>ės taisyklių nustatyta tvarka.“;</w:t>
      </w:r>
    </w:p>
    <w:p w14:paraId="5BC6C4E1" w14:textId="77777777" w:rsidR="007803A8" w:rsidRDefault="009D48E5">
      <w:pPr>
        <w:ind w:firstLine="567"/>
        <w:jc w:val="both"/>
      </w:pPr>
      <w:r>
        <w:t>2.4</w:t>
      </w:r>
      <w:r>
        <w:t>. įrašau naują 9</w:t>
      </w:r>
      <w:r>
        <w:rPr>
          <w:vertAlign w:val="superscript"/>
        </w:rPr>
        <w:t>2</w:t>
      </w:r>
      <w:r>
        <w:t xml:space="preserve"> punktą:</w:t>
      </w:r>
    </w:p>
    <w:p w14:paraId="5BC6C4E2" w14:textId="77777777" w:rsidR="007803A8" w:rsidRDefault="009D48E5">
      <w:pPr>
        <w:ind w:firstLine="567"/>
        <w:jc w:val="both"/>
      </w:pPr>
      <w:r>
        <w:t>„</w:t>
      </w:r>
      <w:r>
        <w:t>9</w:t>
      </w:r>
      <w:r>
        <w:rPr>
          <w:vertAlign w:val="superscript"/>
        </w:rPr>
        <w:t>2</w:t>
      </w:r>
      <w:r>
        <w:t>. Šiose taisyklėse nurodyti asmenys pavienius B, C, D kategorijų ginklus, jų šaudmenis, įveža į Lietuvos Respubliką, išveža iš jos, gabena tranzitu, veža iš Lietuvos Respublikos į k</w:t>
      </w:r>
      <w:r>
        <w:t xml:space="preserve">itą Europos Sąjungos valstybę Lietuvos Respublikos Vyriausybės 2003 m. gegužės 27 d. nutarimu Nr. </w:t>
      </w:r>
      <w:r>
        <w:lastRenderedPageBreak/>
        <w:t>665 patvirtintų Pavienių ginklų ir jų šaudmenų įvežimo į Lietuvos Respubliką, išvežimo iš jos ir gabenimo tranzitu taisyklių nustatyta tvarka.“;</w:t>
      </w:r>
    </w:p>
    <w:p w14:paraId="5BC6C4E3" w14:textId="77777777" w:rsidR="007803A8" w:rsidRDefault="009D48E5">
      <w:pPr>
        <w:ind w:firstLine="567"/>
        <w:jc w:val="both"/>
      </w:pPr>
      <w:r>
        <w:t>2.5</w:t>
      </w:r>
      <w:r>
        <w:t xml:space="preserve">. </w:t>
      </w:r>
      <w:r>
        <w:t>įrašau naują 10.3 punktą:</w:t>
      </w:r>
    </w:p>
    <w:p w14:paraId="5BC6C4E4" w14:textId="77777777" w:rsidR="007803A8" w:rsidRDefault="009D48E5">
      <w:pPr>
        <w:ind w:firstLine="567"/>
        <w:jc w:val="both"/>
      </w:pPr>
      <w:r>
        <w:t>„</w:t>
      </w:r>
      <w:r>
        <w:t>10.3</w:t>
      </w:r>
      <w:r>
        <w:t>. tais atvejais, kai į Lietuvos Respublikos teritoriją atvyksta užsienio valstybių gynybos institucijų pareigūnai (užsieniečiai), kuriems leidimai įvežti ginklus ir šaudmenis išduodami Krašto apsaugos ministerijos nustatyta</w:t>
      </w:r>
      <w:r>
        <w:t xml:space="preserve"> tvarka pagal Lietuvos Respublikos ginklų ir šaudmenų kontrolės įstatymo 37 straipsnio 5 dalį.“;</w:t>
      </w:r>
    </w:p>
    <w:p w14:paraId="5BC6C4E5" w14:textId="77777777" w:rsidR="007803A8" w:rsidRDefault="009D48E5">
      <w:pPr>
        <w:ind w:firstLine="567"/>
        <w:jc w:val="both"/>
      </w:pPr>
      <w:r>
        <w:t>2.6</w:t>
      </w:r>
      <w:r>
        <w:t>. pripažįstu netekusiu galios 11 punktą;</w:t>
      </w:r>
    </w:p>
    <w:p w14:paraId="5BC6C4E6" w14:textId="77777777" w:rsidR="007803A8" w:rsidRDefault="009D48E5">
      <w:pPr>
        <w:ind w:firstLine="567"/>
        <w:jc w:val="both"/>
      </w:pPr>
      <w:r>
        <w:t>2.7</w:t>
      </w:r>
      <w:r>
        <w:t>. išdėstau 13.3 punktą taip:</w:t>
      </w:r>
    </w:p>
    <w:p w14:paraId="5BC6C4E7" w14:textId="7207E2D2" w:rsidR="007803A8" w:rsidRDefault="009D48E5">
      <w:pPr>
        <w:ind w:firstLine="567"/>
        <w:jc w:val="both"/>
      </w:pPr>
      <w:r>
        <w:t>„</w:t>
      </w:r>
      <w:r>
        <w:t>13.3</w:t>
      </w:r>
      <w:r>
        <w:t xml:space="preserve">. pareiškėjo asmens tapatybę patvirtinantį dokumentą ir jo </w:t>
      </w:r>
      <w:r>
        <w:t>kopiją;“;</w:t>
      </w:r>
    </w:p>
    <w:p w14:paraId="5BC6C4E8" w14:textId="77777777" w:rsidR="007803A8" w:rsidRDefault="009D48E5">
      <w:pPr>
        <w:ind w:firstLine="567"/>
        <w:jc w:val="both"/>
      </w:pPr>
      <w:r>
        <w:t>2.8</w:t>
      </w:r>
      <w:r>
        <w:t>. išdėstau 13.4 punktą taip:</w:t>
      </w:r>
    </w:p>
    <w:p w14:paraId="5BC6C4E9" w14:textId="339592CB" w:rsidR="007803A8" w:rsidRDefault="009D48E5">
      <w:pPr>
        <w:ind w:firstLine="567"/>
        <w:jc w:val="both"/>
      </w:pPr>
      <w:r>
        <w:t>„</w:t>
      </w:r>
      <w:r>
        <w:t>13.4</w:t>
      </w:r>
      <w:r>
        <w:t>. medžiotojo bilietą ir jo kopiją (dokumentai pateikiami tik įsigyjant medžioklinius ginklus);“;</w:t>
      </w:r>
    </w:p>
    <w:p w14:paraId="5BC6C4EA" w14:textId="77777777" w:rsidR="007803A8" w:rsidRDefault="009D48E5">
      <w:pPr>
        <w:ind w:firstLine="567"/>
        <w:jc w:val="both"/>
      </w:pPr>
      <w:r>
        <w:t>2.9</w:t>
      </w:r>
      <w:r>
        <w:t>. išdėstau 13.5 punktą taip:</w:t>
      </w:r>
    </w:p>
    <w:p w14:paraId="5BC6C4EB" w14:textId="0C2D3D02" w:rsidR="007803A8" w:rsidRDefault="009D48E5">
      <w:pPr>
        <w:ind w:firstLine="567"/>
        <w:jc w:val="both"/>
      </w:pPr>
      <w:r>
        <w:t>„</w:t>
      </w:r>
      <w:r>
        <w:t>13.5</w:t>
      </w:r>
      <w:r>
        <w:t xml:space="preserve">. dokumentus, patvirtinančius asmens priklausymą šaudymo </w:t>
      </w:r>
      <w:r>
        <w:t>sporto organizacijai ir sporto organizacijos raštą, nurodantį, kokiai rungčiai ginklas bus naudojamas (tik įsigyjant sportinius šaunamuosius ginklus);“;</w:t>
      </w:r>
    </w:p>
    <w:p w14:paraId="5BC6C4EC" w14:textId="77777777" w:rsidR="007803A8" w:rsidRDefault="009D48E5">
      <w:pPr>
        <w:ind w:firstLine="567"/>
        <w:jc w:val="both"/>
      </w:pPr>
      <w:r>
        <w:t>2.10</w:t>
      </w:r>
      <w:r>
        <w:t>. išdėstau 13.7 punktą taip:</w:t>
      </w:r>
    </w:p>
    <w:p w14:paraId="5BC6C4ED" w14:textId="3E8A1F3D" w:rsidR="007803A8" w:rsidRDefault="009D48E5">
      <w:pPr>
        <w:ind w:firstLine="567"/>
        <w:jc w:val="both"/>
      </w:pPr>
      <w:r>
        <w:t>„</w:t>
      </w:r>
      <w:r>
        <w:t>13.7</w:t>
      </w:r>
      <w:r>
        <w:t>. dokumentus, patvirtinančius, kad asmuo vykdo profesinę</w:t>
      </w:r>
      <w:r>
        <w:t xml:space="preserve"> veiklą, kuriai reikalingas šautuvas ar pistoletas injekcijoms;“;</w:t>
      </w:r>
    </w:p>
    <w:p w14:paraId="5BC6C4EE" w14:textId="77777777" w:rsidR="007803A8" w:rsidRDefault="009D48E5">
      <w:pPr>
        <w:ind w:firstLine="567"/>
        <w:jc w:val="both"/>
      </w:pPr>
      <w:r>
        <w:t>2.11</w:t>
      </w:r>
      <w:r>
        <w:t>. įrašau naują 15</w:t>
      </w:r>
      <w:r>
        <w:rPr>
          <w:vertAlign w:val="superscript"/>
        </w:rPr>
        <w:t>1</w:t>
      </w:r>
      <w:r>
        <w:t xml:space="preserve"> punktą:</w:t>
      </w:r>
    </w:p>
    <w:p w14:paraId="5BC6C4EF" w14:textId="77777777" w:rsidR="007803A8" w:rsidRDefault="009D48E5">
      <w:pPr>
        <w:ind w:firstLine="567"/>
        <w:jc w:val="both"/>
      </w:pPr>
      <w:r>
        <w:t>„</w:t>
      </w:r>
      <w:r>
        <w:t>15</w:t>
      </w:r>
      <w:r>
        <w:rPr>
          <w:vertAlign w:val="superscript"/>
        </w:rPr>
        <w:t>1</w:t>
      </w:r>
      <w:r>
        <w:t>. Įstatymo 14 straipsnio 1 dalyje nurodyti asmenys dokumentus dėl leidimų gavimo gali pateikti per Lietuvos Respublikos diplomatines atstovybes, k</w:t>
      </w:r>
      <w:r>
        <w:t>onsulines įstaigas ar Užsienio reikalų ministeriją.“;</w:t>
      </w:r>
    </w:p>
    <w:p w14:paraId="5BC6C4F0" w14:textId="77777777" w:rsidR="007803A8" w:rsidRDefault="009D48E5">
      <w:pPr>
        <w:ind w:firstLine="567"/>
        <w:jc w:val="both"/>
      </w:pPr>
      <w:r>
        <w:t>2.12</w:t>
      </w:r>
      <w:r>
        <w:t>. išdėstau 17.2 punktą taip:</w:t>
      </w:r>
    </w:p>
    <w:p w14:paraId="5BC6C4F1" w14:textId="53DD32C3" w:rsidR="007803A8" w:rsidRDefault="009D48E5">
      <w:pPr>
        <w:ind w:firstLine="567"/>
        <w:jc w:val="both"/>
      </w:pPr>
      <w:r>
        <w:t>„</w:t>
      </w:r>
      <w:r>
        <w:t>17.2</w:t>
      </w:r>
      <w:r>
        <w:t>. ar asmenims pagal Organizuoto nusikalstamumo užkardymo įstatymą taikyti (netaikyti) teismo įpareigojimai, ar asmenys yra (nėra) įrašyti į policijos oper</w:t>
      </w:r>
      <w:r>
        <w:t>atyvinę įskaitą, tikrinama policijos generalinio komisaro nustatyta tvarka, pateikiant 17.1 punkte nurodytą anketą su patikrinimų įrašais (žymomis) atitinkamam kriminalinės policijos padaliniui. Anketa su raštu kriminalinės policijos padaliniui turi būti p</w:t>
      </w:r>
      <w:r>
        <w:t>ateikta ne vėliau kaip per 5 darbo dienas nuo visų dokumentų, kurių reikia leidimui įsigyti ginklą gauti, pateikimo teritorinei policijos įstaigai dienos. 17 punkte nurodyti patikrinimai dėl kartu gyvenančių ir vyresnių kaip 14 metų asmenų neatliekami, jei</w:t>
      </w:r>
      <w:r>
        <w:t xml:space="preserve"> asmuo, norintis įsigyti ginklą ar jį turintis, ginklą įsipareigoja laikyti ar laiko ne savo būste, o kitose tam pritaikytose ir su teritorine policijos įstaiga suderintose vietose;“;</w:t>
      </w:r>
    </w:p>
    <w:p w14:paraId="5BC6C4F2" w14:textId="77777777" w:rsidR="007803A8" w:rsidRDefault="009D48E5">
      <w:pPr>
        <w:ind w:firstLine="567"/>
        <w:jc w:val="both"/>
      </w:pPr>
      <w:r>
        <w:t>2.13</w:t>
      </w:r>
      <w:r>
        <w:t>. išdėstau 17.3 punktą taip:</w:t>
      </w:r>
    </w:p>
    <w:p w14:paraId="5BC6C4F3" w14:textId="77777777" w:rsidR="007803A8" w:rsidRDefault="009D48E5">
      <w:pPr>
        <w:ind w:firstLine="567"/>
        <w:jc w:val="both"/>
      </w:pPr>
      <w:r>
        <w:t>„</w:t>
      </w:r>
      <w:r>
        <w:t>17.3</w:t>
      </w:r>
      <w:r>
        <w:t>. ar asmenys per pastaruo</w:t>
      </w:r>
      <w:r>
        <w:t>sius 3 metus bausti už šiurkščius teisės aktų, reglamentuojančių medžioklę, reikalavimų pažeidimus, tikrinama pateikiant paklausimą raštu regiono aplinkos apsaugos departamentui. Paklausimas (11 priedas) turi būti pateiktas ne vėliau kaip per 5 darbo diena</w:t>
      </w:r>
      <w:r>
        <w:t>s nuo visų dokumentų, kurių reikia leidimui įsigyti ginklą gauti, pateikimo teritorinei policijos įstaigai dienos.“;</w:t>
      </w:r>
    </w:p>
    <w:p w14:paraId="5BC6C4F4" w14:textId="77777777" w:rsidR="007803A8" w:rsidRDefault="009D48E5">
      <w:pPr>
        <w:ind w:firstLine="567"/>
        <w:jc w:val="both"/>
      </w:pPr>
      <w:r>
        <w:t>2.14</w:t>
      </w:r>
      <w:r>
        <w:t>. išdėstau 25 punktą taip:</w:t>
      </w:r>
    </w:p>
    <w:p w14:paraId="5BC6C4F5" w14:textId="77777777" w:rsidR="007803A8" w:rsidRDefault="009D48E5">
      <w:pPr>
        <w:ind w:firstLine="567"/>
        <w:jc w:val="both"/>
      </w:pPr>
      <w:r>
        <w:t>„</w:t>
      </w:r>
      <w:r>
        <w:t>25</w:t>
      </w:r>
      <w:r>
        <w:t>. Pareiškėjo, kuriam leista įsigyti ginklą, prašymu teritorinė policijos įstaiga ne vėliau kaip</w:t>
      </w:r>
      <w:r>
        <w:t xml:space="preserve"> per 5 darbo dienas turi organizuoti patikrinimą, ar pareiškėjo būste arba kitose vietose, turinčiose aiškiai apibrėžtas ribas, yra tinkamos sąlygos ginklui laikyti. Prašymą pareiškėjas policijos įstaigai turi pateikti ne vėliau kaip per 5 mėnesius nuo spr</w:t>
      </w:r>
      <w:r>
        <w:t>endimo leisti įsigyti šaunamąjį ginklą priėmimo dienos (šis punktas netaikomas asmenims, nurodytiems Įstatymo 14 straipsnio 1 dalyje).“;</w:t>
      </w:r>
    </w:p>
    <w:p w14:paraId="5BC6C4F6" w14:textId="77777777" w:rsidR="007803A8" w:rsidRDefault="009D48E5">
      <w:pPr>
        <w:ind w:firstLine="567"/>
        <w:jc w:val="both"/>
      </w:pPr>
      <w:r>
        <w:t>2.15</w:t>
      </w:r>
      <w:r>
        <w:t>. išdėstau 27 punktą taip:</w:t>
      </w:r>
    </w:p>
    <w:p w14:paraId="5BC6C4F7" w14:textId="77777777" w:rsidR="007803A8" w:rsidRDefault="009D48E5">
      <w:pPr>
        <w:ind w:firstLine="567"/>
        <w:jc w:val="both"/>
      </w:pPr>
      <w:r>
        <w:t>„</w:t>
      </w:r>
      <w:r>
        <w:t>27</w:t>
      </w:r>
      <w:r>
        <w:t>. Pareiškėjas, norintis įsigyti pirmą šaunamąjį ginklą savigynai ar gavęs j</w:t>
      </w:r>
      <w:r>
        <w:t xml:space="preserve">į kaip dovaną Įstatymo 42 straipsnio 7–9 dalyse nustatyta tvarka (išskyrus specialaus statuso subjektų pareigūnus (buvusius šių subjektų pareigūnus), kurie tarnybos metu turi (turėjo) teisę laikyti ir nešiotis </w:t>
      </w:r>
      <w:r>
        <w:lastRenderedPageBreak/>
        <w:t xml:space="preserve">šaunamąjį ginklą), privalo išlaikyti egzaminą </w:t>
      </w:r>
      <w:r>
        <w:t>pagal Šaunamojo ginklo laikymo, nešiojimosi ir panaudojimo savigynai mokymo programą, patvirtintą Lietuvos darbo rinkos mokymo tarnybos prie Lietuvos Respublikos socialinės apsaugos ir darbo ministerijos direktoriaus 2003 m. lapkričio 14 d. įsakymu Nr. V(9</w:t>
      </w:r>
      <w:r>
        <w:t>)-112, ar egzaminą (toliau – egzaminas) pagal Apsaugos darbuotojo mokymo programą, patvirtintą Lietuvos darbo rinkos mokymo tarnybos prie Lietuvos Respublikos socialinės apsaugos ir darbo ministerijos direktoriaus 2004 m. gruodžio mėn. 29 d. įsakymu Nr. V(</w:t>
      </w:r>
      <w:r>
        <w:t>9)-169.“;</w:t>
      </w:r>
    </w:p>
    <w:p w14:paraId="5BC6C4F8" w14:textId="77777777" w:rsidR="007803A8" w:rsidRDefault="009D48E5">
      <w:pPr>
        <w:ind w:firstLine="567"/>
        <w:jc w:val="both"/>
      </w:pPr>
      <w:r>
        <w:t>2.16</w:t>
      </w:r>
      <w:r>
        <w:t>. išdėstau 28 punktą taip:</w:t>
      </w:r>
    </w:p>
    <w:p w14:paraId="5BC6C4F9" w14:textId="77777777" w:rsidR="007803A8" w:rsidRDefault="009D48E5">
      <w:pPr>
        <w:ind w:firstLine="567"/>
        <w:jc w:val="both"/>
      </w:pPr>
      <w:r>
        <w:t>„</w:t>
      </w:r>
      <w:r>
        <w:t>28</w:t>
      </w:r>
      <w:r>
        <w:t>. Egzaminus gali laikyti asmenys, baigę kursus pagal Šaunamojo ginklo laikymo, nešiojimosi ir panaudojimo savigynai mokymo programą ar Apsaugos darbuotojo mokymo programą, taip pat kartą – eksternu. Egz</w:t>
      </w:r>
      <w:r>
        <w:t>aminus asmenys laiko aukštesnės pakopos policijos komisariatuose. Juose sudaromos asmenų, pageidaujančių įsigyti šaunamąjį ginklą savigynai, egzaminavimo komisijos. Egzaminus išlaikiusiems asmenims išduodami Vidaus reikalų ministerijos 1997 m. liepos 18 d.</w:t>
      </w:r>
      <w:r>
        <w:t xml:space="preserve"> įsakymu Nr. 340 „Dėl kursų baigimo ir egzamino išlaikymo pažymėjimų išdavimo, apskaitos bei apmokėjimo“ (Žin., 1997, Nr. </w:t>
      </w:r>
      <w:hyperlink r:id="rId17" w:tgtFrame="_blank" w:history="1">
        <w:r>
          <w:rPr>
            <w:color w:val="0000FF" w:themeColor="hyperlink"/>
            <w:u w:val="single"/>
          </w:rPr>
          <w:t>72-1848</w:t>
        </w:r>
      </w:hyperlink>
      <w:r>
        <w:t>) patvirtinto pavyzdžio egzamino išlaikymo pažym</w:t>
      </w:r>
      <w:r>
        <w:t>ėjimai.“;</w:t>
      </w:r>
    </w:p>
    <w:p w14:paraId="5BC6C4FA" w14:textId="77777777" w:rsidR="007803A8" w:rsidRDefault="009D48E5">
      <w:pPr>
        <w:ind w:firstLine="567"/>
        <w:jc w:val="both"/>
      </w:pPr>
      <w:r>
        <w:t>2.17</w:t>
      </w:r>
      <w:r>
        <w:t>. išdėstau 31.2 punktą taip:</w:t>
      </w:r>
    </w:p>
    <w:p w14:paraId="5BC6C4FB" w14:textId="67F1473E" w:rsidR="007803A8" w:rsidRDefault="009D48E5">
      <w:pPr>
        <w:ind w:firstLine="567"/>
        <w:jc w:val="both"/>
      </w:pPr>
      <w:r>
        <w:t>„</w:t>
      </w:r>
      <w:r>
        <w:t>31.2</w:t>
      </w:r>
      <w:r>
        <w:t>. egzamino išlaikymo pažymėjimą ir jo kopiją, o jeigu asmuo yra (buvo) specialaus statuso subjektų ar jiems pavaldžių įstaigų pareigūnas, vietoj minėto pažymėjimo reikia pateikti pažymą, patvirtinan</w:t>
      </w:r>
      <w:r>
        <w:t>čią, kad bet kurioje iš šių institucijų jis yra išlaikęs egzaminą (įskaitą) ir turi (turėjo) teisę laikyti bei nešiotis šaunamąjį ginklą, bei jos kopiją (tik asmenims, norintiems įsigyti šaunamuosius ginklus savigynai);“;</w:t>
      </w:r>
    </w:p>
    <w:p w14:paraId="5BC6C4FC" w14:textId="77777777" w:rsidR="007803A8" w:rsidRDefault="009D48E5">
      <w:pPr>
        <w:ind w:firstLine="567"/>
        <w:jc w:val="both"/>
      </w:pPr>
      <w:r>
        <w:t>2.18</w:t>
      </w:r>
      <w:r>
        <w:t xml:space="preserve">. išdėstau 31.3 punktą </w:t>
      </w:r>
      <w:r>
        <w:t>taip:</w:t>
      </w:r>
    </w:p>
    <w:p w14:paraId="5BC6C4FD" w14:textId="77777777" w:rsidR="007803A8" w:rsidRDefault="009D48E5">
      <w:pPr>
        <w:ind w:firstLine="567"/>
        <w:jc w:val="both"/>
      </w:pPr>
      <w:r>
        <w:t>„</w:t>
      </w:r>
      <w:r>
        <w:t>31.3</w:t>
      </w:r>
      <w:r>
        <w:t xml:space="preserve">. pažymą, patvirtinančią, kad yra tinkamos sąlygos ginklui laikyti (pažyma pateikiama tuo atveju, jeigu teritorinės policijos įstaigos darbas atliekant patikrinimą organizuotas taip, kad pažyma išduodama pareiškėjui). Įstatymo 14 straipsnio 1 </w:t>
      </w:r>
      <w:r>
        <w:t>dalyje nurodytiems asmenims pažymos pateikti nereikia.“;</w:t>
      </w:r>
    </w:p>
    <w:p w14:paraId="5BC6C4FE" w14:textId="77777777" w:rsidR="007803A8" w:rsidRDefault="009D48E5">
      <w:pPr>
        <w:ind w:firstLine="567"/>
        <w:jc w:val="both"/>
      </w:pPr>
      <w:r>
        <w:t>2.19</w:t>
      </w:r>
      <w:r>
        <w:t>. išdėstau 34 punktą taip:</w:t>
      </w:r>
    </w:p>
    <w:p w14:paraId="5BC6C4FF" w14:textId="77777777" w:rsidR="007803A8" w:rsidRDefault="009D48E5">
      <w:pPr>
        <w:ind w:firstLine="567"/>
        <w:jc w:val="both"/>
      </w:pPr>
      <w:r>
        <w:t>„</w:t>
      </w:r>
      <w:r>
        <w:t>34</w:t>
      </w:r>
      <w:r>
        <w:t xml:space="preserve">. Asmenims, kurie turi galiojančius leidimus laikyti (nešiotis) ginklus, leidimus įsigyti naujus ginklus teritorinė policijos įstaiga, nepildydama naujo </w:t>
      </w:r>
      <w:r>
        <w:t>sprendimo dėl leidimo įsigyti ginklą blanko, išduoda ne vėliau kaip per 5 darbo dienas nuo prašymo pateikimo. Pakartotiniai patikrinimai neatliekami. Pareiškėjas pateikia reikalingus tos rūšies ginklui įsigyti dokumentus (nurodytus šių taisyklių 13.4, 13.5</w:t>
      </w:r>
      <w:r>
        <w:t xml:space="preserve"> ar (ir) 31.2 punktuose), jei jų nėra asmens byloje, bei kvitą, patvirtinantį, kad sumokėta valstybės rinkliava.“;</w:t>
      </w:r>
    </w:p>
    <w:p w14:paraId="5BC6C500" w14:textId="77777777" w:rsidR="007803A8" w:rsidRDefault="009D48E5">
      <w:pPr>
        <w:ind w:firstLine="567"/>
        <w:jc w:val="both"/>
      </w:pPr>
      <w:r>
        <w:t>2.20</w:t>
      </w:r>
      <w:r>
        <w:t>. išdėstau 38 punktą taip:</w:t>
      </w:r>
    </w:p>
    <w:p w14:paraId="5BC6C501" w14:textId="77777777" w:rsidR="007803A8" w:rsidRDefault="009D48E5">
      <w:pPr>
        <w:ind w:firstLine="567"/>
        <w:jc w:val="both"/>
      </w:pPr>
      <w:r>
        <w:t>„</w:t>
      </w:r>
      <w:r>
        <w:t>38</w:t>
      </w:r>
      <w:r>
        <w:t xml:space="preserve">. Asmenys gali įsigyti ir vienu metu turėti ne daugiau kaip 500 vienetų kiekvieno tipo (kalibro) </w:t>
      </w:r>
      <w:r>
        <w:t>šovinių ginklams, kuriuos jie turi. Asmenys, turintys ginklus sportui, gali įsigyti ir vienu metu turėti neribotą kiekį kiekvieno tipo (kalibro) šovinių.“;</w:t>
      </w:r>
    </w:p>
    <w:p w14:paraId="5BC6C502" w14:textId="77777777" w:rsidR="007803A8" w:rsidRDefault="009D48E5">
      <w:pPr>
        <w:ind w:firstLine="567"/>
        <w:jc w:val="both"/>
      </w:pPr>
      <w:r>
        <w:t>2.21</w:t>
      </w:r>
      <w:r>
        <w:t>. išdėstau 39 punktą taip:</w:t>
      </w:r>
    </w:p>
    <w:p w14:paraId="5BC6C503" w14:textId="77777777" w:rsidR="007803A8" w:rsidRDefault="009D48E5">
      <w:pPr>
        <w:ind w:firstLine="567"/>
        <w:jc w:val="both"/>
      </w:pPr>
      <w:r>
        <w:t>„</w:t>
      </w:r>
      <w:r>
        <w:t>39</w:t>
      </w:r>
      <w:r>
        <w:t xml:space="preserve">. Įsigytą ar padovanotą ginklą asmuo ne vėliau kaip per </w:t>
      </w:r>
      <w:r>
        <w:t>10 dienų nuo ginklo įsigijimo ar nuo apdovanojimo dokumento gavimo dienos privalo įregistruoti teritorinėje policijos įstaigoje, išdavusioje leidimą įsigyti ginklą.“;</w:t>
      </w:r>
    </w:p>
    <w:p w14:paraId="5BC6C504" w14:textId="77777777" w:rsidR="007803A8" w:rsidRDefault="009D48E5">
      <w:pPr>
        <w:ind w:firstLine="567"/>
        <w:jc w:val="both"/>
      </w:pPr>
      <w:r>
        <w:t>2.22</w:t>
      </w:r>
      <w:r>
        <w:t>. išdėstau 40.8 punktą taip:</w:t>
      </w:r>
    </w:p>
    <w:p w14:paraId="5BC6C505" w14:textId="2E46FEA6" w:rsidR="007803A8" w:rsidRDefault="009D48E5">
      <w:pPr>
        <w:ind w:firstLine="567"/>
        <w:jc w:val="both"/>
      </w:pPr>
      <w:r>
        <w:t>„</w:t>
      </w:r>
      <w:r>
        <w:t>40.8</w:t>
      </w:r>
      <w:r>
        <w:t>. dokumentus, patvirtinančius ginklo įsig</w:t>
      </w:r>
      <w:r>
        <w:t>ijimą ir įvežimą į Lietuvos Respubliką, jeigu ginklas įsigytas užsienio valstybėje, ir (ar) dokumentus, patvirtinančius, jog ginklas užsienio valstybėje turimas teisėtai;“;</w:t>
      </w:r>
    </w:p>
    <w:p w14:paraId="5BC6C506" w14:textId="77777777" w:rsidR="007803A8" w:rsidRDefault="009D48E5">
      <w:pPr>
        <w:ind w:firstLine="567"/>
        <w:jc w:val="both"/>
      </w:pPr>
      <w:r>
        <w:t>2.23</w:t>
      </w:r>
      <w:r>
        <w:t>. išdėstau 44 punktą taip:</w:t>
      </w:r>
    </w:p>
    <w:p w14:paraId="5BC6C507" w14:textId="77777777" w:rsidR="007803A8" w:rsidRDefault="009D48E5">
      <w:pPr>
        <w:ind w:firstLine="567"/>
        <w:jc w:val="both"/>
      </w:pPr>
      <w:r>
        <w:t>„</w:t>
      </w:r>
      <w:r>
        <w:t>44</w:t>
      </w:r>
      <w:r>
        <w:t>. Jeigu ginklo, vamzdžių, spynos numeria</w:t>
      </w:r>
      <w:r>
        <w:t xml:space="preserve">i ar ginklo modelis ir jų numeriai, ar ginklo modelis dokumentuose nesutampa akivaizdžiai dėl techninės klaidos, surenkami reikiami dokumentai, surašoma išvada, kurioje motyvuotai pagrindžiami pakeitimai dokumentuose (išvadą tvirtina teritorinės policijos </w:t>
      </w:r>
      <w:r>
        <w:t xml:space="preserve">įstaigos vadovas arba jo įgaliotas asmuo), ir įregistruojamas ginklas. </w:t>
      </w:r>
      <w:r>
        <w:lastRenderedPageBreak/>
        <w:t>Išvada turi būti surašyta ir ginklas įregistruotas ne vėliau kaip per 10 dienų. Ginklas ir jo įsigijimo dokumentai paimami iki ginklo įregistravimo.“;</w:t>
      </w:r>
    </w:p>
    <w:p w14:paraId="5BC6C508" w14:textId="77777777" w:rsidR="007803A8" w:rsidRDefault="009D48E5">
      <w:pPr>
        <w:ind w:firstLine="567"/>
        <w:jc w:val="both"/>
      </w:pPr>
      <w:r>
        <w:t>2.24</w:t>
      </w:r>
      <w:r>
        <w:t>. išdėstau 49 punktą t</w:t>
      </w:r>
      <w:r>
        <w:t>aip:</w:t>
      </w:r>
    </w:p>
    <w:p w14:paraId="5BC6C509" w14:textId="77777777" w:rsidR="007803A8" w:rsidRDefault="009D48E5">
      <w:pPr>
        <w:ind w:firstLine="567"/>
        <w:jc w:val="both"/>
      </w:pPr>
      <w:r>
        <w:t>„</w:t>
      </w:r>
      <w:r>
        <w:t>49</w:t>
      </w:r>
      <w:r>
        <w:t>. Įregistravus ginklą, asmeniui išduodamas leidimas laikyti (nešiotis) ginklus (8 priedas). Trumpavamzdžių šaunamųjų ginklų, kuriais asmenys apdovanoti Įstatymo 42 straipsnio 7–9 punktuose nurodytų asmenų, taip pat tokių ginklų savigynai duomenys</w:t>
      </w:r>
      <w:r>
        <w:t xml:space="preserve"> (modelis, numeris (-iai), šovinio kalibras (tipas), pagaminimo metai (jei žinomi) įrašomi leidimo dalyje „Leidžiama laikyti ir nešiotis ginklus“. Kitų trumpavamzdžių šaunamųjų ginklų (įsigytų sportui) bei ilgavamzdžių šaunamųjų ginklų duomenys įrašomi lei</w:t>
      </w:r>
      <w:r>
        <w:t xml:space="preserve">dimo dalyje „Leidžiama laikyti ginklus“. Leidimus laikyti (nešiotis) ginklus pasirašo teritorinės policijos įstaigos vadovas ar jo įgaliotas asmuo. Leidimas laikyti (nešiotis) ginklus galioja 5 metus nuo jo išdavimo dienos. Asmenims, kurie turi galiojantį </w:t>
      </w:r>
      <w:r>
        <w:t xml:space="preserve">leidimą laikyti (nešiotis) ginklus, užregistravus naują ginklą leidimo galiojimo terminas nesikeičia. Asmenims, nurodytiems Įstatymo 14 straipsnio 1 dalyje, išduotas leidimas laikyti (nešiotis) ginklus galioja iki asmens akreditacijos pažymėjimo galiojimo </w:t>
      </w:r>
      <w:r>
        <w:t>pabaigos.“;</w:t>
      </w:r>
    </w:p>
    <w:p w14:paraId="5BC6C50A" w14:textId="77777777" w:rsidR="007803A8" w:rsidRDefault="009D48E5">
      <w:pPr>
        <w:ind w:firstLine="567"/>
        <w:jc w:val="both"/>
      </w:pPr>
      <w:r>
        <w:t>2.25</w:t>
      </w:r>
      <w:r>
        <w:t>. išdėstau 56 punktą taip:</w:t>
      </w:r>
    </w:p>
    <w:p w14:paraId="5BC6C50B" w14:textId="77777777" w:rsidR="007803A8" w:rsidRDefault="009D48E5">
      <w:pPr>
        <w:ind w:firstLine="567"/>
        <w:jc w:val="both"/>
      </w:pPr>
      <w:r>
        <w:t>„</w:t>
      </w:r>
      <w:r>
        <w:t>56</w:t>
      </w:r>
      <w:r>
        <w:t>. Ne anksčiau kaip prieš 45 ir ne vėliau kaip iki leidimo laikyti (nešiotis) ginklus galiojimo pabaigos asmuo privalo perregistruoti leidimą laikyti (nešiotis) ginklus ir teritorinei policijos įstaiga</w:t>
      </w:r>
      <w:r>
        <w:t>i, kurioje registruotas ginklas (-ai), turi pateikti prašymą bei 13.2–13.6, 13.8 punktuose nurodytus dokumentus (jei anksčiau pristatyti dokumentai yra galiojantys, jų pateikti iš naujo nereikia), banko kvitą, patvirtinantį, kad sumokėta valstybės rinkliav</w:t>
      </w:r>
      <w:r>
        <w:t>a už leidimo laikyti (nešiotis) ginklus perregistravimą, 1 fotonuotrauką (3x4 cm) bei ginklą (-us). Asmuo, išvykstantis į užsienį ilgesniam nei 45 dienų laikui, gali prasitęsti leidimą laikyti (nešiotis) ginklus anksčiau nei prieš 45 dienas iki jo galiojim</w:t>
      </w:r>
      <w:r>
        <w:t>o pabaigos. Tais atvejais, kai asmuo išvykęs, o leidimo laikyti (nešiotis) ginklus galiojimas pasibaigia, jis pratęsiamas ginklo savininkui grįžus ir pateikus jo buvimą užsienyje patvirtinančius dokumentus.“;</w:t>
      </w:r>
    </w:p>
    <w:p w14:paraId="5BC6C50C" w14:textId="77777777" w:rsidR="007803A8" w:rsidRDefault="009D48E5">
      <w:pPr>
        <w:ind w:firstLine="567"/>
        <w:jc w:val="both"/>
      </w:pPr>
      <w:r>
        <w:t>2.26</w:t>
      </w:r>
      <w:r>
        <w:t>. išdėstau 60 punktą taip:</w:t>
      </w:r>
    </w:p>
    <w:p w14:paraId="5BC6C50D" w14:textId="77777777" w:rsidR="007803A8" w:rsidRDefault="009D48E5">
      <w:pPr>
        <w:ind w:firstLine="567"/>
        <w:jc w:val="both"/>
      </w:pPr>
      <w:r>
        <w:t>„</w:t>
      </w:r>
      <w:r>
        <w:t>60</w:t>
      </w:r>
      <w:r>
        <w:t>. J</w:t>
      </w:r>
      <w:r>
        <w:t xml:space="preserve">eigu po leidimo perregistravimo atlikus šių taisyklių 17.2 ir 17.3 punktuose nurodytus patikrinimus nustatoma, kad asmuo (-enys) yra įrašytas (-i) į policijos operatyvinę įskaitą arba kad jam (jiems) Organizuoto nusikalstamumo užkardymo įstatymo nustatyta </w:t>
      </w:r>
      <w:r>
        <w:t>tvarka taikomi teismo įpareigojimai ar asmuo (-enys) per pastaruosius 3 metus ne mažiau kaip 2 kartus buvo baustas (-i) už šiurkštų teisės aktų, reglamentuojančių medžioklę, reikalavimų pažeidimą, arba atlikus 18 punkte nurodytus patikrinimus nustatoma, ka</w:t>
      </w:r>
      <w:r>
        <w:t>d tikrintas (-i) asmuo (-enys) nėra nepriekaištingos reputacijos, perregistruotas leidimas laikyti (nešiotis) ginklus panaikinamas šių taisyklių XII skyriuje nustatyta tvarka.“;</w:t>
      </w:r>
    </w:p>
    <w:p w14:paraId="5BC6C50E" w14:textId="77777777" w:rsidR="007803A8" w:rsidRDefault="009D48E5">
      <w:pPr>
        <w:ind w:firstLine="567"/>
        <w:jc w:val="both"/>
      </w:pPr>
      <w:r>
        <w:t>2.27</w:t>
      </w:r>
      <w:r>
        <w:t>. išdėstau 66 punktą taip:</w:t>
      </w:r>
    </w:p>
    <w:p w14:paraId="5BC6C50F" w14:textId="77777777" w:rsidR="007803A8" w:rsidRDefault="009D48E5">
      <w:pPr>
        <w:ind w:firstLine="567"/>
        <w:jc w:val="both"/>
      </w:pPr>
      <w:r>
        <w:t>„</w:t>
      </w:r>
      <w:r>
        <w:t>66</w:t>
      </w:r>
      <w:r>
        <w:t>. Ginklo (-ų) ir jo (-ų) savininko</w:t>
      </w:r>
      <w:r>
        <w:t xml:space="preserve"> duomenys apie ginklo įregistravimą, leidimo laikyti (nešiotis) ginklus perregistravimą Civilinėje apyvartoje esančių ginklų registro duomenų tvarkymo taisyklių, patvirtintų Lietuvos policijos generalinio komisaro 2006 m. gegužės 16 d. įsakymu Nr. 5-V-301,</w:t>
      </w:r>
      <w:r>
        <w:t xml:space="preserve"> nustatyta tvarka įrašomi į Civilinėje apyvartoje esančių ginklų registrą. Išregistravus ginklą, perregistravus leidimą laikyti (nešiotis) ginklus, Civilinėje apyvartoje esančių ginklų registre užpildomi atitinkami laukai, susiję su ginklo išregistravimu, </w:t>
      </w:r>
      <w:r>
        <w:t>leidimo laikyti (nešiotis) perregistravimu.“;</w:t>
      </w:r>
    </w:p>
    <w:p w14:paraId="5BC6C510" w14:textId="77777777" w:rsidR="007803A8" w:rsidRDefault="009D48E5">
      <w:pPr>
        <w:ind w:firstLine="567"/>
        <w:jc w:val="both"/>
      </w:pPr>
      <w:r>
        <w:t>2.28</w:t>
      </w:r>
      <w:r>
        <w:t>. išdėstau 68 punktą taip:</w:t>
      </w:r>
    </w:p>
    <w:p w14:paraId="5BC6C511" w14:textId="77777777" w:rsidR="007803A8" w:rsidRDefault="009D48E5">
      <w:pPr>
        <w:ind w:firstLine="567"/>
        <w:jc w:val="both"/>
      </w:pPr>
      <w:r>
        <w:t>„</w:t>
      </w:r>
      <w:r>
        <w:t>68</w:t>
      </w:r>
      <w:r>
        <w:t>. Ginklo išregistravimo pagrindas 67.1 punkte nurodytais atvejais yra juridinio asmens, prekiaujančio ginklais, išduota pažyma, dovanojimo sutartis ar dokumentai, pat</w:t>
      </w:r>
      <w:r>
        <w:t xml:space="preserve">virtinantys ginklo perdavimą sunaikinti. Ginklo savininkas sutartį, o juridinis asmuo, prekiaujantis ginklais, pažymą teritorinei policijos įstaigai turi pateikti per 5 darbo dienas nuo ginklo realizavimo dienos. Pardavęs ginklą ginklo savininkas turi per </w:t>
      </w:r>
      <w:r>
        <w:t>10 darbo dienų kreiptis į teritorinę policijos įstaigą dėl naujo leidimo (be išregistruoto ginklo) laikyti (nešiotis) ginklus gavimo.“;</w:t>
      </w:r>
    </w:p>
    <w:p w14:paraId="5BC6C512" w14:textId="77777777" w:rsidR="007803A8" w:rsidRDefault="009D48E5">
      <w:pPr>
        <w:ind w:firstLine="567"/>
        <w:jc w:val="both"/>
      </w:pPr>
      <w:r>
        <w:t>2.29</w:t>
      </w:r>
      <w:r>
        <w:t>. išdėstau 71 punktą taip:</w:t>
      </w:r>
    </w:p>
    <w:p w14:paraId="5BC6C513" w14:textId="77777777" w:rsidR="007803A8" w:rsidRDefault="009D48E5">
      <w:pPr>
        <w:ind w:firstLine="567"/>
        <w:jc w:val="both"/>
      </w:pPr>
      <w:r>
        <w:t>„</w:t>
      </w:r>
      <w:r>
        <w:t>71</w:t>
      </w:r>
      <w:r>
        <w:t>. Jeigu ginklas yra pavogtas arba prarastas, jo duomenys teisės aktų nustaty</w:t>
      </w:r>
      <w:r>
        <w:t>ta tvarka įrašomi į Ieškomų ginklų registrą.“;</w:t>
      </w:r>
    </w:p>
    <w:p w14:paraId="5BC6C514" w14:textId="77777777" w:rsidR="007803A8" w:rsidRDefault="009D48E5">
      <w:pPr>
        <w:ind w:firstLine="567"/>
        <w:jc w:val="both"/>
      </w:pPr>
      <w:r>
        <w:t>2.30</w:t>
      </w:r>
      <w:r>
        <w:t>. išdėstau 75 punktą taip:</w:t>
      </w:r>
    </w:p>
    <w:p w14:paraId="5BC6C515" w14:textId="77777777" w:rsidR="007803A8" w:rsidRDefault="009D48E5">
      <w:pPr>
        <w:ind w:firstLine="567"/>
        <w:jc w:val="both"/>
      </w:pPr>
      <w:r>
        <w:t>„</w:t>
      </w:r>
      <w:r>
        <w:t>75</w:t>
      </w:r>
      <w:r>
        <w:t xml:space="preserve">. Jeigu pasikeičia ginklo savininko deklaruota gyvenamoji vieta, jo medžiagą (bylą) teritorinė policijos įstaiga persiunčia teritorinei policijos įstaigai pagal </w:t>
      </w:r>
      <w:r>
        <w:t>naują ginklo savininko deklaruotą gyvenamąją vietą po to, kai gauna teritorinės policijos įstaigos prašymą pateikti medžiagą (bylą). Deklaruotos gyvenamosios vietos duomenis Civilinėje apyvartoje esančių ginklų registre keičia naujos deklaruotos gyvenamosi</w:t>
      </w:r>
      <w:r>
        <w:t>os vietos teritorinė policijos įstaiga.“;</w:t>
      </w:r>
    </w:p>
    <w:p w14:paraId="5BC6C516" w14:textId="77777777" w:rsidR="007803A8" w:rsidRDefault="009D48E5">
      <w:pPr>
        <w:ind w:firstLine="567"/>
        <w:jc w:val="both"/>
      </w:pPr>
      <w:r>
        <w:t>2.31</w:t>
      </w:r>
      <w:r>
        <w:t>. išdėstau 76 punktą taip:</w:t>
      </w:r>
    </w:p>
    <w:p w14:paraId="5BC6C517" w14:textId="77777777" w:rsidR="007803A8" w:rsidRDefault="009D48E5">
      <w:pPr>
        <w:ind w:firstLine="567"/>
        <w:jc w:val="both"/>
      </w:pPr>
      <w:r>
        <w:t>„</w:t>
      </w:r>
      <w:r>
        <w:t>76</w:t>
      </w:r>
      <w:r>
        <w:t>. Ginklo išregistravimo pagrindas 67.8 punkte nurodytu atveju yra Ginklų fondo pažyma apie tai, kad ginklas yra perdirbtas į visiškai netinkamą naudoti.“;</w:t>
      </w:r>
    </w:p>
    <w:p w14:paraId="5BC6C518" w14:textId="77777777" w:rsidR="007803A8" w:rsidRDefault="009D48E5">
      <w:pPr>
        <w:ind w:firstLine="567"/>
        <w:jc w:val="both"/>
      </w:pPr>
      <w:r>
        <w:t>2.32</w:t>
      </w:r>
      <w:r>
        <w:t>. i</w:t>
      </w:r>
      <w:r>
        <w:t>šdėstau 82 punktą taip:</w:t>
      </w:r>
    </w:p>
    <w:p w14:paraId="5BC6C519" w14:textId="77777777" w:rsidR="007803A8" w:rsidRDefault="009D48E5">
      <w:pPr>
        <w:ind w:firstLine="567"/>
        <w:jc w:val="both"/>
      </w:pPr>
      <w:r>
        <w:t>„</w:t>
      </w:r>
      <w:r>
        <w:t>82</w:t>
      </w:r>
      <w:r>
        <w:t>. Teritorinės policijos įstaigos vadovo ar jo įgalioto asmens sprendimu ginklą (-us) turinčiam asmeniui padarius ginklų apyvartos taisyklių pažeidimą, kai yra pagrindas manyti, jog pažeidimą asmuo padarė todėl, kad neišmano gin</w:t>
      </w:r>
      <w:r>
        <w:t>klo, šaudmenų įsigijimo, laikymo, nešiojimo, naudojimo, realizavimo, gabenimo taisyklių, ir iki šio sprendimo priėmimo nėra priimtas sprendimas panaikinti leidimą laikyti (nešiotis) ginklus, asmuo gali būti įpareigotas perlaikyti egzaminą pagal Šaunamojo g</w:t>
      </w:r>
      <w:r>
        <w:t>inklo laikymo, nešiojimosi ir panaudojimo savigynai mokymo programą ar Apsaugos darbuotojo mokymo programą bei per vieną mėnesį pristatyti tai patvirtinantį pažymėjimą. Teritorinės policijos įstaigos sprendime dėl įpareigojimo nurodomi motyvai, t. y. dėl k</w:t>
      </w:r>
      <w:r>
        <w:t>okių priežasčių asmuo įpareigojamas perlaikyti egzaminą. Įpareigojimas gali būti taikomas, neatsižvelgiant į tai, kokios rūšies ginklus asmuo turi. Su sprendimu asmuo supažindinamas šių taisyklių 80 punkto nustatyta tvarka.“;</w:t>
      </w:r>
    </w:p>
    <w:p w14:paraId="5BC6C51A" w14:textId="77777777" w:rsidR="007803A8" w:rsidRDefault="009D48E5">
      <w:pPr>
        <w:ind w:firstLine="567"/>
        <w:jc w:val="both"/>
      </w:pPr>
      <w:r>
        <w:t>2.33</w:t>
      </w:r>
      <w:r>
        <w:t>. išdėstau 84.3 pu</w:t>
      </w:r>
      <w:r>
        <w:t>nktą taip:</w:t>
      </w:r>
    </w:p>
    <w:p w14:paraId="5BC6C51B" w14:textId="74A3FA12" w:rsidR="007803A8" w:rsidRDefault="009D48E5">
      <w:pPr>
        <w:ind w:firstLine="567"/>
        <w:jc w:val="both"/>
      </w:pPr>
      <w:r>
        <w:t>„</w:t>
      </w:r>
      <w:r>
        <w:t>84.3</w:t>
      </w:r>
      <w:r>
        <w:t>. atsiradus Įstatymo 17 straipsnio 1 dalies 3, 4, 5, 8, 10 punktuose ir 18 straipsnio 2 dalyje, išskyrus 7 punktą, numatytoms sąlygoms;“;</w:t>
      </w:r>
    </w:p>
    <w:p w14:paraId="5BC6C51C" w14:textId="77777777" w:rsidR="007803A8" w:rsidRDefault="009D48E5">
      <w:pPr>
        <w:ind w:firstLine="567"/>
        <w:jc w:val="both"/>
      </w:pPr>
      <w:r>
        <w:t>2.34</w:t>
      </w:r>
      <w:r>
        <w:t>. išdėstau 84.7 punktą taip:</w:t>
      </w:r>
    </w:p>
    <w:p w14:paraId="5BC6C51D" w14:textId="51BD8797" w:rsidR="007803A8" w:rsidRDefault="009D48E5">
      <w:pPr>
        <w:ind w:firstLine="567"/>
        <w:jc w:val="both"/>
      </w:pPr>
      <w:r>
        <w:t>„</w:t>
      </w:r>
      <w:r>
        <w:t>84.7</w:t>
      </w:r>
      <w:r>
        <w:t>. asmenims, turintiems leidimą laikyti (nešiotis) gin</w:t>
      </w:r>
      <w:r>
        <w:t>klus, akivaizdžiai neleidus arba sudarius kliūtis kontroliuojančiųjų institucijų darbuotojams atlikti patikrinimą (šio punkto reikalavimai netaikomi asmenims, nurodytiems Įstatymo 14 straipsnio 1 dalyje);“;</w:t>
      </w:r>
    </w:p>
    <w:p w14:paraId="5BC6C51E" w14:textId="77777777" w:rsidR="007803A8" w:rsidRDefault="009D48E5">
      <w:pPr>
        <w:ind w:firstLine="567"/>
        <w:jc w:val="both"/>
      </w:pPr>
      <w:r>
        <w:t>2.35</w:t>
      </w:r>
      <w:r>
        <w:t>. pripažįstu netekusiu galios Taisykli</w:t>
      </w:r>
      <w:r>
        <w:t>ų 4 priedą;</w:t>
      </w:r>
    </w:p>
    <w:p w14:paraId="5BC6C51F" w14:textId="77777777" w:rsidR="007803A8" w:rsidRDefault="009D48E5">
      <w:pPr>
        <w:ind w:firstLine="567"/>
        <w:jc w:val="both"/>
      </w:pPr>
      <w:r>
        <w:t>2.36</w:t>
      </w:r>
      <w:r>
        <w:t>. išdėstau Taisyklių 11 priedo 2 pastraipos 1 sakinį taip:</w:t>
      </w:r>
    </w:p>
    <w:p w14:paraId="5BC6C520" w14:textId="3AC994E8" w:rsidR="007803A8" w:rsidRDefault="009D48E5">
      <w:pPr>
        <w:ind w:firstLine="567"/>
        <w:jc w:val="both"/>
      </w:pPr>
      <w:r>
        <w:t xml:space="preserve">„Atlikus patikrinimą ir nustačius, kad asmuo buvo baustas už šiurkštų teisės aktų, reglamentuojančių medžioklę, reikalavimų pažeidimą, kitoje paklausimo pusėje, žymos vietoje </w:t>
      </w:r>
      <w:r>
        <w:t>uždedamas spaudas arba daromas įrašas apie tai, o visa informacija (vardas, pavardė, už ką ir kada buvo baustas (-a), kokia skirta nuobauda) surašoma atskirai.“</w:t>
      </w:r>
    </w:p>
    <w:p w14:paraId="5BC6C521" w14:textId="77777777" w:rsidR="007803A8" w:rsidRDefault="009D48E5">
      <w:pPr>
        <w:jc w:val="both"/>
      </w:pPr>
    </w:p>
    <w:p w14:paraId="5BC6C522" w14:textId="31559999" w:rsidR="007803A8" w:rsidRDefault="009D48E5">
      <w:pPr>
        <w:tabs>
          <w:tab w:val="right" w:pos="9071"/>
        </w:tabs>
        <w:jc w:val="both"/>
      </w:pPr>
      <w:r>
        <w:t xml:space="preserve">POLICIJOS </w:t>
      </w:r>
      <w:bookmarkStart w:id="0" w:name="_GoBack"/>
      <w:bookmarkEnd w:id="0"/>
      <w:r>
        <w:t xml:space="preserve">GENERALINIS KOMISARAS </w:t>
      </w:r>
      <w:r>
        <w:tab/>
        <w:t>VIZGIRDAS TELYČĖNAS</w:t>
      </w:r>
    </w:p>
    <w:p w14:paraId="5BC6C523" w14:textId="77777777" w:rsidR="007803A8" w:rsidRDefault="007803A8">
      <w:pPr>
        <w:jc w:val="both"/>
      </w:pPr>
    </w:p>
    <w:p w14:paraId="5BC6C524" w14:textId="77777777" w:rsidR="007803A8" w:rsidRDefault="009D48E5">
      <w:pPr>
        <w:tabs>
          <w:tab w:val="left" w:pos="4530"/>
        </w:tabs>
      </w:pPr>
      <w:r>
        <w:t>SUDERINTA</w:t>
      </w:r>
      <w:r>
        <w:tab/>
        <w:t>SUDERINTA</w:t>
      </w:r>
    </w:p>
    <w:p w14:paraId="5BC6C525" w14:textId="77777777" w:rsidR="007803A8" w:rsidRDefault="009D48E5">
      <w:pPr>
        <w:tabs>
          <w:tab w:val="left" w:pos="4530"/>
        </w:tabs>
      </w:pPr>
      <w:r>
        <w:t>Lietuvos Res</w:t>
      </w:r>
      <w:r>
        <w:t>publikos krašto</w:t>
      </w:r>
      <w:r>
        <w:tab/>
        <w:t xml:space="preserve">Lietuvos Respublikos </w:t>
      </w:r>
    </w:p>
    <w:p w14:paraId="5BC6C526" w14:textId="77777777" w:rsidR="007803A8" w:rsidRDefault="009D48E5">
      <w:pPr>
        <w:tabs>
          <w:tab w:val="left" w:pos="4530"/>
        </w:tabs>
      </w:pPr>
      <w:r>
        <w:t>apsaugos ministras</w:t>
      </w:r>
      <w:r>
        <w:tab/>
        <w:t>užsienio reikalų ministras</w:t>
      </w:r>
    </w:p>
    <w:p w14:paraId="5BC6C527" w14:textId="77777777" w:rsidR="007803A8" w:rsidRDefault="009D48E5">
      <w:pPr>
        <w:tabs>
          <w:tab w:val="left" w:pos="4530"/>
        </w:tabs>
      </w:pPr>
      <w:r>
        <w:t>Juozas Olekas</w:t>
      </w:r>
      <w:r>
        <w:tab/>
        <w:t>Petras Vaitiekūnas</w:t>
      </w:r>
    </w:p>
    <w:p w14:paraId="5BC6C528" w14:textId="77777777" w:rsidR="007803A8" w:rsidRDefault="009D48E5">
      <w:pPr>
        <w:tabs>
          <w:tab w:val="left" w:pos="4530"/>
        </w:tabs>
        <w:ind w:firstLine="4530"/>
      </w:pPr>
      <w:r>
        <w:t>2008-08-14</w:t>
      </w:r>
    </w:p>
    <w:p w14:paraId="5BC6C52A" w14:textId="70D68DB9" w:rsidR="007803A8" w:rsidRDefault="009D48E5">
      <w:pPr>
        <w:jc w:val="center"/>
      </w:pPr>
    </w:p>
    <w:sectPr w:rsidR="007803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FA"/>
    <w:rsid w:val="001758FA"/>
    <w:rsid w:val="007803A8"/>
    <w:rsid w:val="009D48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6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48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4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31190DAE226"/>
  <Relationship Id="rId11" Type="http://schemas.openxmlformats.org/officeDocument/2006/relationships/hyperlink" TargetMode="External" Target="https://www.e-tar.lt/portal/lt/legalAct/TAR.487F8B0F0B49"/>
  <Relationship Id="rId12" Type="http://schemas.openxmlformats.org/officeDocument/2006/relationships/hyperlink" TargetMode="External" Target="https://www.e-tar.lt/portal/lt/legalAct/TAR.E7BB9C6E6162"/>
  <Relationship Id="rId13" Type="http://schemas.openxmlformats.org/officeDocument/2006/relationships/hyperlink" TargetMode="External" Target="https://www.e-tar.lt/portal/lt/legalAct/TAR.86008EBECAF3"/>
  <Relationship Id="rId14" Type="http://schemas.openxmlformats.org/officeDocument/2006/relationships/hyperlink" TargetMode="External" Target="https://www.e-tar.lt/portal/lt/legalAct/TAR.6CFDA8CABD33"/>
  <Relationship Id="rId15" Type="http://schemas.openxmlformats.org/officeDocument/2006/relationships/hyperlink" TargetMode="External" Target="https://www.e-tar.lt/portal/lt/legalAct/TAR.389CB90C666D"/>
  <Relationship Id="rId16" Type="http://schemas.openxmlformats.org/officeDocument/2006/relationships/hyperlink" TargetMode="External" Target="https://www.e-tar.lt/portal/lt/legalAct/TAR.7B18DAE6F706"/>
  <Relationship Id="rId17" Type="http://schemas.openxmlformats.org/officeDocument/2006/relationships/hyperlink" TargetMode="External" Target="https://www.e-tar.lt/portal/lt/legalAct/TAR.A6A3CB4B4FF3"/>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B18DAE6F706"/>
  <Relationship Id="rId9" Type="http://schemas.openxmlformats.org/officeDocument/2006/relationships/hyperlink" TargetMode="External" Target="https://www.e-tar.lt/portal/lt/legalAct/TAR.98EC7EAEAEC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C6"/>
    <w:rsid w:val="002A6E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E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6E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12134</Words>
  <Characters>6917</Characters>
  <Application>Microsoft Office Word</Application>
  <DocSecurity>0</DocSecurity>
  <Lines>57</Lines>
  <Paragraphs>38</Paragraphs>
  <ScaleCrop>false</ScaleCrop>
  <Company/>
  <LinksUpToDate>false</LinksUpToDate>
  <CharactersWithSpaces>19013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2015-07-04T14:39:00Z</dcterms:created>
  <dc:creator>Rima</dc:creator>
  <lastModifiedBy>BOREIŠIS Marius</lastModifiedBy>
  <dcterms:modified xsi:type="dcterms:W3CDTF">2016-02-03T08:50:00Z</dcterms:modified>
  <revision>3</revision>
  <dc:title>LIETUVOS POLICIJOS GENERALINIO KOMISARO Į S A K Y M A S</dc:title>
</coreProperties>
</file>