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54813" w14:textId="77777777" w:rsidR="00CA353F" w:rsidRDefault="00B57BD2">
      <w:pPr>
        <w:keepLines/>
        <w:widowControl w:val="0"/>
        <w:suppressAutoHyphens/>
        <w:jc w:val="center"/>
        <w:rPr>
          <w:color w:val="000000"/>
        </w:rPr>
      </w:pPr>
      <w:r>
        <w:rPr>
          <w:color w:val="000000"/>
          <w:lang w:val="en-US"/>
        </w:rPr>
        <w:pict w14:anchorId="0DA54F3B">
          <v:shapetype id="_x0000_t201" coordsize="21600,21600" o:spt="201" path="m,l,21600r21600,l21600,xe">
            <v:stroke joinstyle="miter"/>
            <v:path shadowok="f" o:extrusionok="f" strokeok="f" fillok="f" o:connecttype="rect"/>
            <o:lock v:ext="edit" shapetype="t"/>
          </v:shapetype>
          <v:shape id="_x0000_s1043" type="#_x0000_t201" style="position:absolute;left:0;text-align:left;margin-left:0;margin-top:0;width:.75pt;height:.75pt;z-index:251657728;visibility:hidden;mso-position-horizontal-relative:text;mso-position-vertical-relative:text" stroked="f">
            <v:imagedata r:id="rId6" o:title=""/>
          </v:shape>
          <w:control r:id="rId7" w:name="Control 19" w:shapeid="_x0000_s1043"/>
        </w:pict>
      </w:r>
      <w:r w:rsidR="002C3F58">
        <w:rPr>
          <w:color w:val="000000"/>
        </w:rPr>
        <w:t xml:space="preserve">VALSTYBINĖS KAINŲ IR ENERGETIKOS </w:t>
      </w:r>
    </w:p>
    <w:p w14:paraId="0DA54814" w14:textId="77777777" w:rsidR="00CA353F" w:rsidRDefault="002C3F58">
      <w:pPr>
        <w:keepLines/>
        <w:widowControl w:val="0"/>
        <w:suppressAutoHyphens/>
        <w:jc w:val="center"/>
        <w:rPr>
          <w:color w:val="000000"/>
        </w:rPr>
      </w:pPr>
      <w:r>
        <w:rPr>
          <w:color w:val="000000"/>
        </w:rPr>
        <w:t>KONTROLĖS KOMISIJOS</w:t>
      </w:r>
    </w:p>
    <w:p w14:paraId="0DA54815" w14:textId="77777777" w:rsidR="00CA353F" w:rsidRDefault="002C3F58">
      <w:pPr>
        <w:keepLines/>
        <w:widowControl w:val="0"/>
        <w:suppressAutoHyphens/>
        <w:jc w:val="center"/>
        <w:rPr>
          <w:caps/>
          <w:color w:val="000000"/>
        </w:rPr>
      </w:pPr>
      <w:r>
        <w:rPr>
          <w:caps/>
          <w:color w:val="000000"/>
        </w:rPr>
        <w:t>N U T A R I M A S</w:t>
      </w:r>
    </w:p>
    <w:p w14:paraId="0DA54816" w14:textId="77777777" w:rsidR="00CA353F" w:rsidRDefault="00CA353F">
      <w:pPr>
        <w:keepLines/>
        <w:widowControl w:val="0"/>
        <w:suppressAutoHyphens/>
        <w:jc w:val="center"/>
        <w:rPr>
          <w:color w:val="000000"/>
        </w:rPr>
      </w:pPr>
    </w:p>
    <w:p w14:paraId="0DA54817" w14:textId="77777777" w:rsidR="00CA353F" w:rsidRDefault="002C3F58">
      <w:pPr>
        <w:keepLines/>
        <w:widowControl w:val="0"/>
        <w:suppressAutoHyphens/>
        <w:jc w:val="center"/>
        <w:rPr>
          <w:b/>
          <w:bCs/>
          <w:caps/>
          <w:color w:val="000000"/>
        </w:rPr>
      </w:pPr>
      <w:r>
        <w:rPr>
          <w:b/>
          <w:bCs/>
          <w:caps/>
          <w:color w:val="000000"/>
        </w:rPr>
        <w:t>DĖL gamtinių dujų tiekimo kainų viršutinių ribų skaičiavimo metodikos pakeitimo</w:t>
      </w:r>
    </w:p>
    <w:p w14:paraId="0DA54818" w14:textId="77777777" w:rsidR="00CA353F" w:rsidRDefault="00CA353F">
      <w:pPr>
        <w:keepLines/>
        <w:widowControl w:val="0"/>
        <w:suppressAutoHyphens/>
        <w:jc w:val="center"/>
        <w:rPr>
          <w:caps/>
          <w:color w:val="000000"/>
        </w:rPr>
      </w:pPr>
    </w:p>
    <w:p w14:paraId="0DA54819" w14:textId="77777777" w:rsidR="00CA353F" w:rsidRDefault="002C3F58">
      <w:pPr>
        <w:keepLines/>
        <w:widowControl w:val="0"/>
        <w:suppressAutoHyphens/>
        <w:jc w:val="center"/>
        <w:rPr>
          <w:color w:val="000000"/>
        </w:rPr>
      </w:pPr>
      <w:r>
        <w:rPr>
          <w:color w:val="000000"/>
        </w:rPr>
        <w:t>2009 m. spalio 13 d. Nr. O3-158</w:t>
      </w:r>
    </w:p>
    <w:p w14:paraId="0DA5481A" w14:textId="77777777" w:rsidR="00CA353F" w:rsidRDefault="002C3F58">
      <w:pPr>
        <w:keepLines/>
        <w:widowControl w:val="0"/>
        <w:suppressAutoHyphens/>
        <w:jc w:val="center"/>
        <w:rPr>
          <w:color w:val="000000"/>
        </w:rPr>
      </w:pPr>
      <w:r>
        <w:rPr>
          <w:color w:val="000000"/>
        </w:rPr>
        <w:t>Vilnius</w:t>
      </w:r>
    </w:p>
    <w:p w14:paraId="0DA5481B" w14:textId="77777777" w:rsidR="00CA353F" w:rsidRDefault="00CA353F">
      <w:pPr>
        <w:widowControl w:val="0"/>
        <w:suppressAutoHyphens/>
        <w:ind w:firstLine="567"/>
        <w:jc w:val="both"/>
        <w:rPr>
          <w:color w:val="000000"/>
        </w:rPr>
      </w:pPr>
    </w:p>
    <w:p w14:paraId="0DA5481C" w14:textId="77777777" w:rsidR="00CA353F" w:rsidRDefault="002C3F58">
      <w:pPr>
        <w:widowControl w:val="0"/>
        <w:suppressAutoHyphens/>
        <w:ind w:firstLine="567"/>
        <w:jc w:val="both"/>
        <w:rPr>
          <w:color w:val="000000"/>
        </w:rPr>
      </w:pPr>
      <w:r>
        <w:rPr>
          <w:color w:val="000000"/>
        </w:rPr>
        <w:t>Vadovaudamasi Lietuvos Respublikos energetikos įstatymo (Žin., 2002, Nr. </w:t>
      </w:r>
      <w:hyperlink r:id="rId8" w:tgtFrame="_blank" w:history="1">
        <w:r>
          <w:rPr>
            <w:color w:val="0000FF" w:themeColor="hyperlink"/>
            <w:u w:val="single"/>
          </w:rPr>
          <w:t>56-2224</w:t>
        </w:r>
      </w:hyperlink>
      <w:r>
        <w:rPr>
          <w:color w:val="000000"/>
        </w:rPr>
        <w:t>; 2008, Nr. </w:t>
      </w:r>
      <w:hyperlink r:id="rId9" w:tgtFrame="_blank" w:history="1">
        <w:r>
          <w:rPr>
            <w:color w:val="0000FF" w:themeColor="hyperlink"/>
            <w:u w:val="single"/>
          </w:rPr>
          <w:t>135-5228</w:t>
        </w:r>
      </w:hyperlink>
      <w:r>
        <w:rPr>
          <w:color w:val="000000"/>
        </w:rPr>
        <w:t>) 17 straipsnio 8 dalimi ir Lietuvos Respublikos gamtinių dujų įstatymo (Žin., 2000, Nr. </w:t>
      </w:r>
      <w:hyperlink r:id="rId10" w:tgtFrame="_blank" w:history="1">
        <w:r>
          <w:rPr>
            <w:color w:val="0000FF" w:themeColor="hyperlink"/>
            <w:u w:val="single"/>
          </w:rPr>
          <w:t>89-2743</w:t>
        </w:r>
      </w:hyperlink>
      <w:r>
        <w:rPr>
          <w:color w:val="000000"/>
        </w:rPr>
        <w:t>; 2007, Nr. </w:t>
      </w:r>
      <w:hyperlink r:id="rId11" w:tgtFrame="_blank" w:history="1">
        <w:r>
          <w:rPr>
            <w:color w:val="0000FF" w:themeColor="hyperlink"/>
            <w:u w:val="single"/>
          </w:rPr>
          <w:t>43-1626</w:t>
        </w:r>
      </w:hyperlink>
      <w:r>
        <w:rPr>
          <w:color w:val="000000"/>
        </w:rPr>
        <w:t>) 23 straipsnio 3 dalimi, Valstybinė kainų ir energetikos kontrolės komisija (toliau vadinama – Komisija) n u t a r i a:</w:t>
      </w:r>
    </w:p>
    <w:p w14:paraId="0DA5481F" w14:textId="1BF1673C" w:rsidR="00CA353F" w:rsidRDefault="002C3F58" w:rsidP="002C3F58">
      <w:pPr>
        <w:widowControl w:val="0"/>
        <w:suppressAutoHyphens/>
        <w:ind w:firstLine="567"/>
        <w:jc w:val="both"/>
      </w:pPr>
      <w:r>
        <w:rPr>
          <w:color w:val="000000"/>
        </w:rPr>
        <w:t>Pakeisti Gamtinių dujų tiekimo kainų viršutinių ribų skaičiavimo metodiką, patvirtintą Komisijos 2008 m. rugpjūčio 29 d. nutarimu Nr. O3-107 „Dėl Gamtinių dujų tiekimo kainų viršutinių ribų skaičiavimo metodikos patvirtinimo“ (Žin., 2008, Nr. </w:t>
      </w:r>
      <w:hyperlink r:id="rId12" w:tgtFrame="_blank" w:history="1">
        <w:r>
          <w:rPr>
            <w:color w:val="0000FF" w:themeColor="hyperlink"/>
            <w:u w:val="single"/>
          </w:rPr>
          <w:t>103-3965</w:t>
        </w:r>
      </w:hyperlink>
      <w:r>
        <w:rPr>
          <w:color w:val="000000"/>
        </w:rPr>
        <w:t>) ir išdėstyti ją nauja redakcija (pridedama).</w:t>
      </w:r>
    </w:p>
    <w:p w14:paraId="075BB62D" w14:textId="77777777" w:rsidR="002C3F58" w:rsidRDefault="002C3F58">
      <w:pPr>
        <w:widowControl w:val="0"/>
        <w:tabs>
          <w:tab w:val="right" w:pos="9071"/>
        </w:tabs>
        <w:suppressAutoHyphens/>
      </w:pPr>
    </w:p>
    <w:p w14:paraId="183A7C28" w14:textId="77777777" w:rsidR="002C3F58" w:rsidRDefault="002C3F58">
      <w:pPr>
        <w:widowControl w:val="0"/>
        <w:tabs>
          <w:tab w:val="right" w:pos="9071"/>
        </w:tabs>
        <w:suppressAutoHyphens/>
      </w:pPr>
    </w:p>
    <w:p w14:paraId="0DA54821" w14:textId="0B68DDD9" w:rsidR="00CA353F" w:rsidRDefault="002C3F58" w:rsidP="00B57BD2">
      <w:pPr>
        <w:widowControl w:val="0"/>
        <w:tabs>
          <w:tab w:val="right" w:pos="9071"/>
        </w:tabs>
        <w:suppressAutoHyphens/>
      </w:pPr>
      <w:r>
        <w:rPr>
          <w:caps/>
          <w:color w:val="000000"/>
        </w:rPr>
        <w:t>Komisijos pirmininkas</w:t>
      </w:r>
      <w:r>
        <w:rPr>
          <w:caps/>
          <w:color w:val="000000"/>
        </w:rPr>
        <w:tab/>
        <w:t>Virgilijus Poderys</w:t>
      </w:r>
    </w:p>
    <w:p w14:paraId="0DA54822" w14:textId="2ADC1284" w:rsidR="00CA353F" w:rsidRDefault="002C3F58">
      <w:pPr>
        <w:keepLines/>
        <w:tabs>
          <w:tab w:val="left" w:pos="1304"/>
          <w:tab w:val="left" w:pos="1457"/>
          <w:tab w:val="left" w:pos="1604"/>
          <w:tab w:val="left" w:pos="1757"/>
        </w:tabs>
        <w:suppressAutoHyphens/>
        <w:ind w:left="5102"/>
        <w:textAlignment w:val="center"/>
      </w:pPr>
      <w:r>
        <w:br w:type="page"/>
      </w:r>
      <w:r>
        <w:lastRenderedPageBreak/>
        <w:t>PATVIRTINTA</w:t>
      </w:r>
    </w:p>
    <w:p w14:paraId="0DA54823" w14:textId="77777777" w:rsidR="00CA353F" w:rsidRDefault="002C3F58">
      <w:pPr>
        <w:keepLines/>
        <w:tabs>
          <w:tab w:val="left" w:pos="1304"/>
          <w:tab w:val="left" w:pos="1457"/>
          <w:tab w:val="left" w:pos="1604"/>
          <w:tab w:val="left" w:pos="1757"/>
        </w:tabs>
        <w:suppressAutoHyphens/>
        <w:ind w:firstLine="5102"/>
        <w:textAlignment w:val="center"/>
      </w:pPr>
      <w:r>
        <w:t xml:space="preserve">Valstybinės kainų ir energetikos </w:t>
      </w:r>
    </w:p>
    <w:p w14:paraId="0DA54824" w14:textId="77777777" w:rsidR="00CA353F" w:rsidRDefault="002C3F58">
      <w:pPr>
        <w:keepLines/>
        <w:tabs>
          <w:tab w:val="left" w:pos="1304"/>
          <w:tab w:val="left" w:pos="1457"/>
          <w:tab w:val="left" w:pos="1604"/>
          <w:tab w:val="left" w:pos="1757"/>
        </w:tabs>
        <w:suppressAutoHyphens/>
        <w:ind w:firstLine="5102"/>
        <w:textAlignment w:val="center"/>
      </w:pPr>
      <w:r>
        <w:t>kontrolės komisijos</w:t>
      </w:r>
    </w:p>
    <w:p w14:paraId="0DA54825" w14:textId="77777777" w:rsidR="00CA353F" w:rsidRDefault="002C3F58">
      <w:pPr>
        <w:keepLines/>
        <w:tabs>
          <w:tab w:val="left" w:pos="1304"/>
          <w:tab w:val="left" w:pos="1457"/>
          <w:tab w:val="left" w:pos="1604"/>
          <w:tab w:val="left" w:pos="1757"/>
        </w:tabs>
        <w:suppressAutoHyphens/>
        <w:ind w:firstLine="5102"/>
        <w:textAlignment w:val="center"/>
      </w:pPr>
      <w:r>
        <w:t xml:space="preserve">2009 m. spalio 13 d. </w:t>
      </w:r>
    </w:p>
    <w:p w14:paraId="0DA54826" w14:textId="77777777" w:rsidR="00CA353F" w:rsidRDefault="002C3F58">
      <w:pPr>
        <w:keepLines/>
        <w:tabs>
          <w:tab w:val="left" w:pos="1304"/>
          <w:tab w:val="left" w:pos="1457"/>
          <w:tab w:val="left" w:pos="1604"/>
          <w:tab w:val="left" w:pos="1757"/>
        </w:tabs>
        <w:suppressAutoHyphens/>
        <w:ind w:firstLine="5102"/>
        <w:textAlignment w:val="center"/>
      </w:pPr>
      <w:r>
        <w:t>nutarimu Nr. O3-158 </w:t>
      </w:r>
    </w:p>
    <w:p w14:paraId="0DA54827" w14:textId="77777777" w:rsidR="00CA353F" w:rsidRDefault="00CA353F">
      <w:pPr>
        <w:suppressAutoHyphens/>
        <w:jc w:val="center"/>
        <w:textAlignment w:val="center"/>
      </w:pPr>
    </w:p>
    <w:p w14:paraId="0DA54828" w14:textId="77777777" w:rsidR="00CA353F" w:rsidRDefault="00B57BD2">
      <w:pPr>
        <w:keepLines/>
        <w:suppressAutoHyphens/>
        <w:jc w:val="center"/>
        <w:textAlignment w:val="center"/>
        <w:rPr>
          <w:b/>
          <w:bCs/>
          <w:caps/>
        </w:rPr>
      </w:pPr>
      <w:r w:rsidR="002C3F58">
        <w:rPr>
          <w:b/>
          <w:bCs/>
          <w:caps/>
        </w:rPr>
        <w:t>GAMTINIŲ DUJŲ TIEKIMO KAINŲ viršutinių RIBŲ SKAIČIAVIMO METODIKA</w:t>
      </w:r>
    </w:p>
    <w:p w14:paraId="0DA54829" w14:textId="77777777" w:rsidR="00CA353F" w:rsidRDefault="00CA353F">
      <w:pPr>
        <w:suppressAutoHyphens/>
        <w:jc w:val="center"/>
        <w:textAlignment w:val="center"/>
        <w:rPr>
          <w:b/>
          <w:bCs/>
        </w:rPr>
      </w:pPr>
    </w:p>
    <w:p w14:paraId="0DA5482A" w14:textId="77777777" w:rsidR="00CA353F" w:rsidRDefault="00B57BD2">
      <w:pPr>
        <w:keepLines/>
        <w:suppressAutoHyphens/>
        <w:jc w:val="center"/>
        <w:textAlignment w:val="center"/>
        <w:rPr>
          <w:b/>
          <w:bCs/>
          <w:caps/>
          <w:strike/>
        </w:rPr>
      </w:pPr>
      <w:r w:rsidR="002C3F58">
        <w:rPr>
          <w:b/>
          <w:bCs/>
          <w:caps/>
        </w:rPr>
        <w:t>I</w:t>
      </w:r>
      <w:r w:rsidR="002C3F58">
        <w:rPr>
          <w:b/>
          <w:bCs/>
          <w:caps/>
        </w:rPr>
        <w:t xml:space="preserve">. </w:t>
      </w:r>
      <w:r w:rsidR="002C3F58">
        <w:rPr>
          <w:b/>
          <w:bCs/>
          <w:caps/>
        </w:rPr>
        <w:t>Bendrosios nuostatos</w:t>
      </w:r>
    </w:p>
    <w:p w14:paraId="0DA5482B" w14:textId="77777777" w:rsidR="00CA353F" w:rsidRDefault="00CA353F">
      <w:pPr>
        <w:suppressAutoHyphens/>
        <w:ind w:firstLine="567"/>
        <w:jc w:val="both"/>
        <w:textAlignment w:val="center"/>
      </w:pPr>
    </w:p>
    <w:p w14:paraId="0DA5482C" w14:textId="77777777" w:rsidR="00CA353F" w:rsidRDefault="00B57BD2">
      <w:pPr>
        <w:suppressAutoHyphens/>
        <w:ind w:firstLine="567"/>
        <w:jc w:val="both"/>
        <w:textAlignment w:val="center"/>
      </w:pPr>
      <w:r w:rsidR="002C3F58">
        <w:t>1</w:t>
      </w:r>
      <w:r w:rsidR="002C3F58">
        <w:t xml:space="preserve">. Gamtinių dujų tiekimo kainų viršutinių ribų skaičiavimo metodika (toliau vadinama – Metodika) parengta, vadovaujantis Lietuvos Respublikos energetikos įstatymu (Žin., 2002, Nr. </w:t>
      </w:r>
      <w:hyperlink r:id="rId13" w:tgtFrame="_blank" w:history="1">
        <w:r w:rsidR="002C3F58">
          <w:rPr>
            <w:color w:val="0000FF" w:themeColor="hyperlink"/>
            <w:u w:val="single"/>
          </w:rPr>
          <w:t>56-2224</w:t>
        </w:r>
      </w:hyperlink>
      <w:r w:rsidR="002C3F58">
        <w:t xml:space="preserve">), Lietuvos Respublikos gamtinių dujų įstatymu (Žin., 2000, Nr. </w:t>
      </w:r>
      <w:hyperlink r:id="rId14" w:tgtFrame="_blank" w:history="1">
        <w:r w:rsidR="002C3F58">
          <w:rPr>
            <w:color w:val="0000FF" w:themeColor="hyperlink"/>
            <w:u w:val="single"/>
          </w:rPr>
          <w:t>89-2743</w:t>
        </w:r>
      </w:hyperlink>
      <w:r w:rsidR="002C3F58">
        <w:t xml:space="preserve">; 2007, Nr. </w:t>
      </w:r>
      <w:hyperlink r:id="rId15" w:tgtFrame="_blank" w:history="1">
        <w:r w:rsidR="002C3F58">
          <w:rPr>
            <w:color w:val="0000FF" w:themeColor="hyperlink"/>
            <w:u w:val="single"/>
          </w:rPr>
          <w:t>43-1626</w:t>
        </w:r>
      </w:hyperlink>
      <w:r w:rsidR="002C3F58">
        <w:t>), Lietuvos Respublikos Vyriausybės nutarimais, kitais</w:t>
      </w:r>
      <w:r w:rsidR="002C3F58">
        <w:rPr>
          <w:b/>
        </w:rPr>
        <w:t xml:space="preserve"> </w:t>
      </w:r>
      <w:r w:rsidR="002C3F58">
        <w:t>Lietuvos Respublikos teisės aktais ir Europos Sąjungos teisės aktų reikalavimais</w:t>
      </w:r>
      <w:r w:rsidR="002C3F58">
        <w:rPr>
          <w:b/>
        </w:rPr>
        <w:t>.</w:t>
      </w:r>
      <w:r w:rsidR="002C3F58">
        <w:t xml:space="preserve"> Ši Metodika taikoma, nustatant gamtinių dujų (toliau tekste – dujų) tiekimo kainų viršutines ribas. </w:t>
      </w:r>
    </w:p>
    <w:p w14:paraId="0DA5482D" w14:textId="77777777" w:rsidR="00CA353F" w:rsidRDefault="00B57BD2">
      <w:pPr>
        <w:suppressAutoHyphens/>
        <w:ind w:firstLine="567"/>
        <w:jc w:val="both"/>
        <w:textAlignment w:val="center"/>
      </w:pPr>
      <w:r w:rsidR="002C3F58">
        <w:t>2</w:t>
      </w:r>
      <w:r w:rsidR="002C3F58">
        <w:t>. Valstybinė kainų ir energetikos kontrolės komisija (toliau vadinama – Komisija) nustato dujų tiekimo kainų viršutines ribas penkeriems metams. Konkrečias dujų tiekimo kainas ir tarifus buitiniams vartotojams, neviršijančius Komisijos nustatytų kainų viršutinių ribų, kiekvienais metais nustato dujų įmonės. Dujų įmonės buitiniams vartotojams nustato tarifus kas pusę metų.</w:t>
      </w:r>
    </w:p>
    <w:p w14:paraId="0DA5482E" w14:textId="77777777" w:rsidR="00CA353F" w:rsidRDefault="00B57BD2">
      <w:pPr>
        <w:suppressAutoHyphens/>
        <w:ind w:firstLine="567"/>
        <w:jc w:val="both"/>
        <w:textAlignment w:val="center"/>
      </w:pPr>
      <w:r w:rsidR="002C3F58">
        <w:t>3</w:t>
      </w:r>
      <w:r w:rsidR="002C3F58">
        <w:t>. Dujų tiekimo kainų viršutinės ribos Komisijos sprendimu gali būti koreguojamos pasikeitus infliacijos lygiui, importuojamų (atgabenamų) dujų kainoms, mokesčiams, dujų kiekiui, teisės aktų reikalavimams,</w:t>
      </w:r>
      <w:r w:rsidR="002C3F58">
        <w:rPr>
          <w:b/>
        </w:rPr>
        <w:t xml:space="preserve"> </w:t>
      </w:r>
      <w:r w:rsidR="002C3F58">
        <w:t>dujų įmonėms įgyvendinus su Komisija suderintas investicijas, dujų įmonėms nukrypus nuo Komisijos šioje Metodikoje nustatytų rodiklių, tačiau ne dažniau kaip kartą per metus.</w:t>
      </w:r>
    </w:p>
    <w:p w14:paraId="0DA5482F" w14:textId="77777777" w:rsidR="00CA353F" w:rsidRDefault="00B57BD2">
      <w:pPr>
        <w:suppressAutoHyphens/>
        <w:ind w:firstLine="567"/>
        <w:jc w:val="both"/>
        <w:textAlignment w:val="center"/>
      </w:pPr>
      <w:r w:rsidR="002C3F58">
        <w:t>4</w:t>
      </w:r>
      <w:r w:rsidR="002C3F58">
        <w:t>. Konkrečių dujų tarifų buitiniams vartotojams projektą ne vėliau kaip prieš 60 dienų iki tarifų įsigaliojimo dujų įmonės pateikia Komisijai. Skaičiavimai atliekami be pridėtinės vertės mokesčio (PVM).</w:t>
      </w:r>
    </w:p>
    <w:p w14:paraId="0DA54830" w14:textId="77777777" w:rsidR="00CA353F" w:rsidRDefault="00B57BD2">
      <w:pPr>
        <w:suppressAutoHyphens/>
        <w:ind w:firstLine="567"/>
        <w:jc w:val="both"/>
        <w:textAlignment w:val="center"/>
      </w:pPr>
      <w:r w:rsidR="002C3F58">
        <w:t>5</w:t>
      </w:r>
      <w:r w:rsidR="002C3F58">
        <w:t>. Skaičiuojant dujų tiekimo kainų viršutines ribas, jas koreguojant, baigiantis kainų viršutinių ribų taikymo trukmei, ne vėliau kaip prieš keturis mėnesius iki naujų kainų įsigaliojimo, dujų įmonė pateikia Komisijai duomenis pagal Metodikos priedus dujų tiekimo kainų viršutinių ribų skaičiavimui. Dujų tiekimo kainų viršutinių ribų koregavimui pagal Metodikos priedus teikiami tik tie duomenys, kurie būtini, norint pakoreguoti dujų tiekimo</w:t>
      </w:r>
      <w:r w:rsidR="002C3F58">
        <w:rPr>
          <w:b/>
        </w:rPr>
        <w:t xml:space="preserve"> </w:t>
      </w:r>
      <w:r w:rsidR="002C3F58">
        <w:t>kainų viršutines ribas. Dujų įmonei laiku nepateikus Komisijai visų reikiamų duomenų, Komisija gali pratęsti nustatytų kainų viršutinių ribų galiojimo laikotarpį.</w:t>
      </w:r>
    </w:p>
    <w:p w14:paraId="0DA54831" w14:textId="77777777" w:rsidR="00CA353F" w:rsidRDefault="00B57BD2">
      <w:pPr>
        <w:suppressAutoHyphens/>
        <w:ind w:firstLine="567"/>
        <w:jc w:val="both"/>
        <w:textAlignment w:val="center"/>
      </w:pPr>
      <w:r w:rsidR="002C3F58">
        <w:t>6</w:t>
      </w:r>
      <w:r w:rsidR="002C3F58">
        <w:t xml:space="preserve">. Komisija sprendimą dėl gamtinių dujų tiekimo kainų viršutinių ribų nustatymo priima ne vėliau kaip per 45 dienas, o dėl gamtinių dujų tiekimo kainų viršutinių ribų koregavimo – ne vėliau kaip per 30 dienų nuo dujų įmonės duomenų pateikimo dienos. </w:t>
      </w:r>
    </w:p>
    <w:p w14:paraId="0DA54832" w14:textId="77777777" w:rsidR="00CA353F" w:rsidRDefault="00B57BD2">
      <w:pPr>
        <w:suppressAutoHyphens/>
        <w:ind w:firstLine="567"/>
        <w:jc w:val="both"/>
        <w:textAlignment w:val="center"/>
      </w:pPr>
      <w:r w:rsidR="002C3F58">
        <w:t>7</w:t>
      </w:r>
      <w:r w:rsidR="002C3F58">
        <w:t>. Paskutiniais dujų tiekimo kainų viršutinės ribos galiojimo metais dujų įmonės parengia ir ne vėliau kaip prieš keturis mėnesius iki naujų kainų įsigaliojimo pateikia Komisijai ilgalaikę reguliuojamos veiklos programą 5 metų laikotarpiui, užpildydamos Metodikos priede pateiktą lentelę.</w:t>
      </w:r>
    </w:p>
    <w:p w14:paraId="0DA54833" w14:textId="77777777" w:rsidR="00CA353F" w:rsidRDefault="00B57BD2">
      <w:pPr>
        <w:suppressAutoHyphens/>
        <w:ind w:firstLine="567"/>
        <w:jc w:val="both"/>
        <w:textAlignment w:val="center"/>
      </w:pPr>
      <w:r w:rsidR="002C3F58">
        <w:t>8</w:t>
      </w:r>
      <w:r w:rsidR="002C3F58">
        <w:t>. Investicijos derinamos su Komisija, vadovaujantis teisės aktų nustatyta tvarka. Investicijų įvykdymo ataskaita pateikiama Komisijai kartu su dujų tiekimo kainų viršutinių ribų koregavimo arba naujų dujų tiekimo kainų viršutinių ribų nustatymo duomenimis. Koreguodama kainų viršutines ribas, Komisija įvertina dujų įmonės įvykdytų investicijų efektyvumą, atsižvelgdama į dujų įmonės su Komisija suderintuose investicijų projektuose nurodytus rodiklius.</w:t>
      </w:r>
    </w:p>
    <w:p w14:paraId="0DA54834" w14:textId="77777777" w:rsidR="00CA353F" w:rsidRDefault="00B57BD2">
      <w:pPr>
        <w:suppressAutoHyphens/>
        <w:ind w:firstLine="567"/>
        <w:jc w:val="both"/>
        <w:textAlignment w:val="center"/>
      </w:pPr>
    </w:p>
    <w:p w14:paraId="0DA54835" w14:textId="77777777" w:rsidR="00CA353F" w:rsidRDefault="00B57BD2">
      <w:pPr>
        <w:keepLines/>
        <w:suppressAutoHyphens/>
        <w:jc w:val="center"/>
        <w:textAlignment w:val="center"/>
        <w:rPr>
          <w:b/>
          <w:bCs/>
          <w:caps/>
        </w:rPr>
      </w:pPr>
      <w:r w:rsidR="002C3F58">
        <w:rPr>
          <w:b/>
          <w:bCs/>
          <w:caps/>
        </w:rPr>
        <w:t>II</w:t>
      </w:r>
      <w:r w:rsidR="002C3F58">
        <w:rPr>
          <w:b/>
          <w:bCs/>
          <w:caps/>
        </w:rPr>
        <w:t xml:space="preserve">. </w:t>
      </w:r>
      <w:r w:rsidR="002C3F58">
        <w:rPr>
          <w:b/>
          <w:bCs/>
          <w:caps/>
        </w:rPr>
        <w:t>TERMINAI IR APIBRĖŽIMAI</w:t>
      </w:r>
    </w:p>
    <w:p w14:paraId="0DA54836" w14:textId="77777777" w:rsidR="00CA353F" w:rsidRDefault="00CA353F">
      <w:pPr>
        <w:suppressAutoHyphens/>
        <w:ind w:firstLine="567"/>
        <w:jc w:val="both"/>
        <w:textAlignment w:val="center"/>
      </w:pPr>
    </w:p>
    <w:p w14:paraId="0DA54837" w14:textId="77777777" w:rsidR="00CA353F" w:rsidRDefault="00B57BD2">
      <w:pPr>
        <w:suppressAutoHyphens/>
        <w:ind w:firstLine="567"/>
        <w:jc w:val="both"/>
        <w:textAlignment w:val="center"/>
      </w:pPr>
      <w:r w:rsidR="002C3F58">
        <w:t>9</w:t>
      </w:r>
      <w:r w:rsidR="002C3F58">
        <w:t xml:space="preserve">. </w:t>
      </w:r>
      <w:r w:rsidR="002C3F58">
        <w:rPr>
          <w:b/>
        </w:rPr>
        <w:t>Bazinis dujų kiekis</w:t>
      </w:r>
      <w:r w:rsidR="002C3F58">
        <w:t> – suskaičiuotas vidutinis tiekiamas dujų kiekis penkerių metų laikotarpiui, išreikštas norminiais kubiniais metrais su bazine žemutine dujų degimo šilumos verte.</w:t>
      </w:r>
    </w:p>
    <w:p w14:paraId="0DA54838" w14:textId="77777777" w:rsidR="00CA353F" w:rsidRDefault="00B57BD2">
      <w:pPr>
        <w:suppressAutoHyphens/>
        <w:ind w:firstLine="567"/>
        <w:jc w:val="both"/>
        <w:textAlignment w:val="center"/>
      </w:pPr>
      <w:r w:rsidR="002C3F58">
        <w:t>10</w:t>
      </w:r>
      <w:r w:rsidR="002C3F58">
        <w:t xml:space="preserve">. </w:t>
      </w:r>
      <w:r w:rsidR="002C3F58">
        <w:rPr>
          <w:b/>
        </w:rPr>
        <w:t>Bazinės sąnaudos</w:t>
      </w:r>
      <w:r w:rsidR="002C3F58">
        <w:t> – suskaičiuotos vidutinės ekonomiškai pagrįstos (būtinosios) tiekimo veiklos sąnaudos penkerių metų laikotarpiui.</w:t>
      </w:r>
    </w:p>
    <w:p w14:paraId="0DA54839" w14:textId="77777777" w:rsidR="00CA353F" w:rsidRDefault="00B57BD2">
      <w:pPr>
        <w:suppressAutoHyphens/>
        <w:ind w:firstLine="567"/>
        <w:jc w:val="both"/>
        <w:textAlignment w:val="center"/>
      </w:pPr>
      <w:r w:rsidR="002C3F58">
        <w:t>11</w:t>
      </w:r>
      <w:r w:rsidR="002C3F58">
        <w:t xml:space="preserve">. </w:t>
      </w:r>
      <w:r w:rsidR="002C3F58">
        <w:rPr>
          <w:b/>
        </w:rPr>
        <w:t>Buitiniai vartotojai</w:t>
      </w:r>
      <w:r w:rsidR="002C3F58">
        <w:t> – fiziniai asmenys, perkantys dujas naudoti buitinėms reikmėms.</w:t>
      </w:r>
    </w:p>
    <w:p w14:paraId="0DA5483A" w14:textId="77777777" w:rsidR="00CA353F" w:rsidRDefault="00B57BD2">
      <w:pPr>
        <w:suppressAutoHyphens/>
        <w:ind w:firstLine="567"/>
        <w:jc w:val="both"/>
        <w:textAlignment w:val="center"/>
      </w:pPr>
      <w:r w:rsidR="002C3F58">
        <w:t>12</w:t>
      </w:r>
      <w:r w:rsidR="002C3F58">
        <w:t xml:space="preserve">. </w:t>
      </w:r>
      <w:r w:rsidR="002C3F58">
        <w:rPr>
          <w:b/>
        </w:rPr>
        <w:t>Dujų įmonė</w:t>
      </w:r>
      <w:r w:rsidR="002C3F58">
        <w:t> – juridinis asmuo, kuris verčiasi bent viena iš šių veiklų: dujų gavybos, perdavimo, skirstymo, skystinimo, tiekimo bei laikymo ir yra atsakingas už susijusius su šių rūšių veikla komercinius, techninius ir (arba) eksploatavimo įpareigojimus.</w:t>
      </w:r>
    </w:p>
    <w:p w14:paraId="0DA5483B" w14:textId="77777777" w:rsidR="00CA353F" w:rsidRDefault="00B57BD2">
      <w:pPr>
        <w:suppressAutoHyphens/>
        <w:ind w:firstLine="567"/>
        <w:jc w:val="both"/>
        <w:textAlignment w:val="center"/>
      </w:pPr>
      <w:r w:rsidR="002C3F58">
        <w:t>13</w:t>
      </w:r>
      <w:r w:rsidR="002C3F58">
        <w:t xml:space="preserve">. </w:t>
      </w:r>
      <w:r w:rsidR="002C3F58">
        <w:rPr>
          <w:b/>
        </w:rPr>
        <w:t>Dujų importas</w:t>
      </w:r>
      <w:r w:rsidR="002C3F58">
        <w:t> – dujų patiekimas iš kitų valstybių į Lietuvos Respubliką, išskyrus dujų įmonių iš Europos Sąjungos valstybių saugyklų tiekiamas dujas.</w:t>
      </w:r>
    </w:p>
    <w:p w14:paraId="0DA5483C" w14:textId="77777777" w:rsidR="00CA353F" w:rsidRDefault="00B57BD2">
      <w:pPr>
        <w:suppressAutoHyphens/>
        <w:ind w:firstLine="567"/>
        <w:jc w:val="both"/>
        <w:textAlignment w:val="center"/>
      </w:pPr>
      <w:r w:rsidR="002C3F58">
        <w:t>14</w:t>
      </w:r>
      <w:r w:rsidR="002C3F58">
        <w:t xml:space="preserve">. </w:t>
      </w:r>
      <w:r w:rsidR="002C3F58">
        <w:rPr>
          <w:b/>
        </w:rPr>
        <w:t>Gamtinės dujos</w:t>
      </w:r>
      <w:r w:rsidR="002C3F58">
        <w:t> – iš žemės gelmių išgaunamų angliavandenilių mišinys, kuris normaliomis sąlygomis yra dujinės būsenos, taip pat suskystintos gamtinės dujos, biodujos, dujos, pagamintos iš biomasės, ir kitų tipų dujos, kurios gali būti techniškai ir saugiai patiektos į gamtinių dujų sistemą arba ja transportuojamos.</w:t>
      </w:r>
    </w:p>
    <w:p w14:paraId="0DA5483D" w14:textId="77777777" w:rsidR="00CA353F" w:rsidRDefault="00B57BD2">
      <w:pPr>
        <w:suppressAutoHyphens/>
        <w:ind w:firstLine="567"/>
        <w:jc w:val="both"/>
        <w:textAlignment w:val="center"/>
      </w:pPr>
      <w:r w:rsidR="002C3F58">
        <w:t>15</w:t>
      </w:r>
      <w:r w:rsidR="002C3F58">
        <w:t xml:space="preserve">. </w:t>
      </w:r>
      <w:r w:rsidR="002C3F58">
        <w:rPr>
          <w:b/>
        </w:rPr>
        <w:t>Ilgalaikė veiklos programa</w:t>
      </w:r>
      <w:r w:rsidR="002C3F58">
        <w:t> – dujų įmonių parengtas ir su Komisija suderintas dokumentas, kuriame nurodytos planuojamos per reguliavimo periodą įgyvendinti reguliuojamos dujų veiklos investicijos, įgyvendinimui reikalingos lėšos bei finansavimo šaltiniai.</w:t>
      </w:r>
    </w:p>
    <w:p w14:paraId="0DA5483E" w14:textId="77777777" w:rsidR="00CA353F" w:rsidRDefault="00B57BD2">
      <w:pPr>
        <w:suppressAutoHyphens/>
        <w:ind w:firstLine="567"/>
        <w:jc w:val="both"/>
        <w:textAlignment w:val="center"/>
      </w:pPr>
      <w:r w:rsidR="002C3F58">
        <w:t>16</w:t>
      </w:r>
      <w:r w:rsidR="002C3F58">
        <w:t xml:space="preserve">. </w:t>
      </w:r>
      <w:r w:rsidR="002C3F58">
        <w:rPr>
          <w:b/>
        </w:rPr>
        <w:t>Kita ūkinė-finansinė veikla</w:t>
      </w:r>
      <w:r w:rsidR="002C3F58">
        <w:t> – visa kita 22 punkte nepaminėta ūkinė-finansinė veikla.</w:t>
      </w:r>
    </w:p>
    <w:p w14:paraId="0DA5483F" w14:textId="77777777" w:rsidR="00CA353F" w:rsidRDefault="00B57BD2">
      <w:pPr>
        <w:suppressAutoHyphens/>
        <w:ind w:firstLine="567"/>
        <w:jc w:val="both"/>
        <w:textAlignment w:val="center"/>
      </w:pPr>
      <w:r w:rsidR="002C3F58">
        <w:t>17</w:t>
      </w:r>
      <w:r w:rsidR="002C3F58">
        <w:t xml:space="preserve">. </w:t>
      </w:r>
      <w:r w:rsidR="002C3F58">
        <w:rPr>
          <w:b/>
        </w:rPr>
        <w:t>Kubinis metras (m</w:t>
      </w:r>
      <w:r w:rsidR="002C3F58">
        <w:rPr>
          <w:b/>
          <w:vertAlign w:val="superscript"/>
        </w:rPr>
        <w:t>3</w:t>
      </w:r>
      <w:r w:rsidR="002C3F58">
        <w:rPr>
          <w:b/>
        </w:rPr>
        <w:t>)</w:t>
      </w:r>
      <w:r w:rsidR="002C3F58">
        <w:t xml:space="preserve"> – dujų kiekis, kuris, esant norminėms sąlygoms, užima vieno kubinio metro tūrį. </w:t>
      </w:r>
    </w:p>
    <w:p w14:paraId="0DA54840" w14:textId="77777777" w:rsidR="00CA353F" w:rsidRDefault="00B57BD2">
      <w:pPr>
        <w:suppressAutoHyphens/>
        <w:ind w:firstLine="567"/>
        <w:jc w:val="both"/>
        <w:textAlignment w:val="center"/>
      </w:pPr>
      <w:r w:rsidR="002C3F58">
        <w:t>18</w:t>
      </w:r>
      <w:r w:rsidR="002C3F58">
        <w:t xml:space="preserve">. </w:t>
      </w:r>
      <w:r w:rsidR="002C3F58">
        <w:rPr>
          <w:b/>
        </w:rPr>
        <w:t>Metai</w:t>
      </w:r>
      <w:r w:rsidR="002C3F58">
        <w:t> – laikotarpis, prasidedantis bet kurių metų sausio 1 d. 9.00 valandą ir besibaigiantis kitų metų sausio 1 d. 9.00 valandą.</w:t>
      </w:r>
    </w:p>
    <w:p w14:paraId="0DA54841" w14:textId="77777777" w:rsidR="00CA353F" w:rsidRDefault="00B57BD2">
      <w:pPr>
        <w:suppressAutoHyphens/>
        <w:ind w:firstLine="567"/>
        <w:jc w:val="both"/>
        <w:textAlignment w:val="center"/>
      </w:pPr>
      <w:r w:rsidR="002C3F58">
        <w:t>19</w:t>
      </w:r>
      <w:r w:rsidR="002C3F58">
        <w:t xml:space="preserve">. </w:t>
      </w:r>
      <w:r w:rsidR="002C3F58">
        <w:rPr>
          <w:b/>
        </w:rPr>
        <w:t>Mėnuo</w:t>
      </w:r>
      <w:r w:rsidR="002C3F58">
        <w:t> – laikotarpis nuo pirmos kalendorinės ataskaitinio mėnesio dienos 9 valandos iki pirmos kalendorinės po ataskaitinio mėnesio dienos 9 valandos.</w:t>
      </w:r>
    </w:p>
    <w:p w14:paraId="0DA54842" w14:textId="77777777" w:rsidR="00CA353F" w:rsidRDefault="00B57BD2">
      <w:pPr>
        <w:suppressAutoHyphens/>
        <w:ind w:firstLine="567"/>
        <w:jc w:val="both"/>
        <w:textAlignment w:val="center"/>
      </w:pPr>
      <w:r w:rsidR="002C3F58">
        <w:t>20</w:t>
      </w:r>
      <w:r w:rsidR="002C3F58">
        <w:t xml:space="preserve">. </w:t>
      </w:r>
      <w:r w:rsidR="002C3F58">
        <w:rPr>
          <w:b/>
        </w:rPr>
        <w:t>Nebuitiniai vartotojai</w:t>
      </w:r>
      <w:r w:rsidR="002C3F58">
        <w:t> – vartotojai, perkantys dujas naudoti nebuitinėms reikmėms.</w:t>
      </w:r>
    </w:p>
    <w:p w14:paraId="0DA54843" w14:textId="77777777" w:rsidR="00CA353F" w:rsidRDefault="00B57BD2">
      <w:pPr>
        <w:suppressAutoHyphens/>
        <w:ind w:firstLine="567"/>
        <w:jc w:val="both"/>
        <w:textAlignment w:val="center"/>
      </w:pPr>
      <w:r w:rsidR="002C3F58">
        <w:t>21</w:t>
      </w:r>
      <w:r w:rsidR="002C3F58">
        <w:t xml:space="preserve">. </w:t>
      </w:r>
      <w:r w:rsidR="002C3F58">
        <w:rPr>
          <w:b/>
        </w:rPr>
        <w:t>Norminės sąlygos</w:t>
      </w:r>
      <w:r w:rsidR="002C3F58">
        <w:t> – sąlygos, esant 1,01325 barų dujų slėgiui ir 20 °C temperatūrai.</w:t>
      </w:r>
    </w:p>
    <w:p w14:paraId="0DA54844" w14:textId="77777777" w:rsidR="00CA353F" w:rsidRDefault="00B57BD2">
      <w:pPr>
        <w:suppressAutoHyphens/>
        <w:ind w:firstLine="567"/>
        <w:jc w:val="both"/>
        <w:textAlignment w:val="center"/>
      </w:pPr>
      <w:r w:rsidR="002C3F58">
        <w:t>22</w:t>
      </w:r>
      <w:r w:rsidR="002C3F58">
        <w:t xml:space="preserve">. </w:t>
      </w:r>
      <w:r w:rsidR="002C3F58">
        <w:rPr>
          <w:b/>
        </w:rPr>
        <w:t>Pagrindinė ūkinė-finansinė veikla</w:t>
      </w:r>
      <w:r w:rsidR="002C3F58">
        <w:t> – dujų tiekimas ir vartotojų aptarnavimas.</w:t>
      </w:r>
    </w:p>
    <w:p w14:paraId="0DA54845" w14:textId="77777777" w:rsidR="00CA353F" w:rsidRDefault="00B57BD2">
      <w:pPr>
        <w:suppressAutoHyphens/>
        <w:ind w:firstLine="567"/>
        <w:jc w:val="both"/>
        <w:textAlignment w:val="center"/>
      </w:pPr>
      <w:r w:rsidR="002C3F58">
        <w:t>23</w:t>
      </w:r>
      <w:r w:rsidR="002C3F58">
        <w:rPr>
          <w:b/>
        </w:rPr>
        <w:t>.</w:t>
      </w:r>
      <w:r w:rsidR="002C3F58">
        <w:t xml:space="preserve"> </w:t>
      </w:r>
      <w:r w:rsidR="002C3F58">
        <w:rPr>
          <w:b/>
        </w:rPr>
        <w:t>Para</w:t>
      </w:r>
      <w:r w:rsidR="002C3F58">
        <w:t> – laikotarpis, prasidedantis bet kurią dieną 9 valandą ryto ir besibaigiantis kitą dieną 9 valandą ryto.</w:t>
      </w:r>
    </w:p>
    <w:p w14:paraId="0DA54846" w14:textId="77777777" w:rsidR="00CA353F" w:rsidRDefault="00B57BD2">
      <w:pPr>
        <w:suppressAutoHyphens/>
        <w:ind w:firstLine="567"/>
        <w:jc w:val="both"/>
        <w:textAlignment w:val="center"/>
      </w:pPr>
      <w:r w:rsidR="002C3F58">
        <w:t>24</w:t>
      </w:r>
      <w:r w:rsidR="002C3F58">
        <w:t xml:space="preserve">. </w:t>
      </w:r>
      <w:r w:rsidR="002C3F58">
        <w:rPr>
          <w:b/>
        </w:rPr>
        <w:t>Paskirtasis tiekimas</w:t>
      </w:r>
      <w:r w:rsidR="002C3F58">
        <w:t> – dujų tiekimas, vykdant viešuosius interesus atitinkančius įpareigojimus. Paskirtasis tiekimas gali būti vykdomas buitiniams vartotojams.</w:t>
      </w:r>
    </w:p>
    <w:p w14:paraId="0DA54847" w14:textId="77777777" w:rsidR="00CA353F" w:rsidRDefault="00B57BD2">
      <w:pPr>
        <w:suppressAutoHyphens/>
        <w:ind w:firstLine="567"/>
        <w:jc w:val="both"/>
        <w:textAlignment w:val="center"/>
      </w:pPr>
      <w:r w:rsidR="002C3F58">
        <w:t>25</w:t>
      </w:r>
      <w:r w:rsidR="002C3F58">
        <w:t xml:space="preserve">. </w:t>
      </w:r>
      <w:r w:rsidR="002C3F58">
        <w:rPr>
          <w:b/>
        </w:rPr>
        <w:t>Pristatymo vieta</w:t>
      </w:r>
      <w:r w:rsidR="002C3F58">
        <w:t> – vieta, kurioje baigiasi dujų perdavimas ar skirstymas ir kurioje perdavimo, skirstymo įmonė atiduoda dujas sistemos naudotojui arba kurioje tiekimo įmonė patiekia dujas į buitinio vartotojo sistemą.</w:t>
      </w:r>
    </w:p>
    <w:p w14:paraId="0DA54848" w14:textId="77777777" w:rsidR="00CA353F" w:rsidRDefault="00B57BD2">
      <w:pPr>
        <w:suppressAutoHyphens/>
        <w:ind w:firstLine="567"/>
        <w:jc w:val="both"/>
        <w:textAlignment w:val="center"/>
      </w:pPr>
      <w:r w:rsidR="002C3F58">
        <w:t>26</w:t>
      </w:r>
      <w:r w:rsidR="002C3F58">
        <w:t xml:space="preserve">. </w:t>
      </w:r>
      <w:r w:rsidR="002C3F58">
        <w:rPr>
          <w:b/>
        </w:rPr>
        <w:t>Saugumas</w:t>
      </w:r>
      <w:r w:rsidR="002C3F58">
        <w:t> – dujų tiekimo ir pristatymo patikimumas bei techninė sauga.</w:t>
      </w:r>
    </w:p>
    <w:p w14:paraId="0DA54849" w14:textId="77777777" w:rsidR="00CA353F" w:rsidRDefault="00B57BD2">
      <w:pPr>
        <w:suppressAutoHyphens/>
        <w:ind w:firstLine="567"/>
        <w:jc w:val="both"/>
        <w:textAlignment w:val="center"/>
      </w:pPr>
      <w:r w:rsidR="002C3F58">
        <w:t>27</w:t>
      </w:r>
      <w:r w:rsidR="002C3F58">
        <w:t xml:space="preserve">. </w:t>
      </w:r>
      <w:r w:rsidR="002C3F58">
        <w:rPr>
          <w:b/>
        </w:rPr>
        <w:t xml:space="preserve">Tarifas – </w:t>
      </w:r>
      <w:r w:rsidR="002C3F58">
        <w:t xml:space="preserve">prognozuojamų dujų (produkto), konkrečių perdavimo, skirstymo, laikymo, skystinimo, tiekimo kainų bei skirtumo tarp ankstesnio tarifų galiojimo laikotarpio prognozuotų ir faktinių dujų (produkto) kainų suma, taikoma buitiniams vartotojams. </w:t>
      </w:r>
    </w:p>
    <w:p w14:paraId="0DA5484A" w14:textId="77777777" w:rsidR="00CA353F" w:rsidRDefault="00B57BD2">
      <w:pPr>
        <w:suppressAutoHyphens/>
        <w:ind w:firstLine="567"/>
        <w:jc w:val="both"/>
        <w:textAlignment w:val="center"/>
      </w:pPr>
      <w:r w:rsidR="002C3F58">
        <w:t>28</w:t>
      </w:r>
      <w:r w:rsidR="002C3F58">
        <w:t xml:space="preserve">. </w:t>
      </w:r>
      <w:r w:rsidR="002C3F58">
        <w:rPr>
          <w:b/>
        </w:rPr>
        <w:t>Tiekimas</w:t>
      </w:r>
      <w:r w:rsidR="002C3F58">
        <w:t xml:space="preserve"> – dujų pardavimas ir (ar) perpardavimas vartotojams bei jų patiekimas į sistemą.</w:t>
      </w:r>
    </w:p>
    <w:p w14:paraId="0DA5484B" w14:textId="77777777" w:rsidR="00CA353F" w:rsidRDefault="00B57BD2">
      <w:pPr>
        <w:suppressAutoHyphens/>
        <w:ind w:firstLine="567"/>
        <w:jc w:val="both"/>
        <w:textAlignment w:val="center"/>
      </w:pPr>
      <w:r w:rsidR="002C3F58">
        <w:t>29</w:t>
      </w:r>
      <w:r w:rsidR="002C3F58">
        <w:t xml:space="preserve">. </w:t>
      </w:r>
      <w:r w:rsidR="002C3F58">
        <w:rPr>
          <w:b/>
        </w:rPr>
        <w:t>Tiekimo įmonė</w:t>
      </w:r>
      <w:r w:rsidR="002C3F58">
        <w:t xml:space="preserve"> – dujų įmonė, kuri verčiasi dujų tiekimo veikla.</w:t>
      </w:r>
    </w:p>
    <w:p w14:paraId="0DA5484C" w14:textId="77777777" w:rsidR="00CA353F" w:rsidRDefault="00B57BD2">
      <w:pPr>
        <w:suppressAutoHyphens/>
        <w:ind w:firstLine="567"/>
        <w:jc w:val="both"/>
        <w:textAlignment w:val="center"/>
      </w:pPr>
      <w:r w:rsidR="002C3F58">
        <w:t>30</w:t>
      </w:r>
      <w:r w:rsidR="002C3F58">
        <w:t xml:space="preserve">. </w:t>
      </w:r>
      <w:r w:rsidR="002C3F58">
        <w:rPr>
          <w:b/>
        </w:rPr>
        <w:t>Vartotojai</w:t>
      </w:r>
      <w:r w:rsidR="002C3F58">
        <w:t xml:space="preserve"> – juridiniai ar fiziniai asmenys, perkantys dujas.</w:t>
      </w:r>
    </w:p>
    <w:p w14:paraId="0DA5484D" w14:textId="77777777" w:rsidR="00CA353F" w:rsidRDefault="00B57BD2">
      <w:pPr>
        <w:suppressAutoHyphens/>
        <w:ind w:firstLine="567"/>
        <w:jc w:val="both"/>
        <w:textAlignment w:val="center"/>
      </w:pPr>
      <w:r w:rsidR="002C3F58">
        <w:t>31</w:t>
      </w:r>
      <w:r w:rsidR="002C3F58">
        <w:t xml:space="preserve">. </w:t>
      </w:r>
      <w:r w:rsidR="002C3F58">
        <w:rPr>
          <w:b/>
        </w:rPr>
        <w:t>Tiekimo kainos viršutinė riba</w:t>
      </w:r>
      <w:r w:rsidR="002C3F58">
        <w:t> – tai dujų įmonės tiekimo veiklos bazinių sąnaudų santykio su tiekimo veiklos baziniu gamtinių dujų kiekiu ir Komisijos nustatytos pelno maržos suma.</w:t>
      </w:r>
    </w:p>
    <w:p w14:paraId="0DA5484E" w14:textId="77777777" w:rsidR="00CA353F" w:rsidRDefault="00B57BD2">
      <w:pPr>
        <w:suppressAutoHyphens/>
        <w:ind w:firstLine="567"/>
        <w:jc w:val="both"/>
        <w:textAlignment w:val="center"/>
      </w:pPr>
      <w:r w:rsidR="002C3F58">
        <w:t>32</w:t>
      </w:r>
      <w:r w:rsidR="002C3F58">
        <w:t xml:space="preserve">. </w:t>
      </w:r>
      <w:r w:rsidR="002C3F58">
        <w:rPr>
          <w:b/>
        </w:rPr>
        <w:t>Žemutinė dujų degimo šilumos vertė</w:t>
      </w:r>
      <w:r w:rsidR="002C3F58">
        <w:t xml:space="preserve"> – šilumos kiekis, išsiskiriantis visiškai sudegus vienam kubiniam metrui sausų gamtinių dujų, neįskaitant šilumos, susidarančios kondensuojantis vandens garams.</w:t>
      </w:r>
    </w:p>
    <w:p w14:paraId="0DA5484F" w14:textId="77777777" w:rsidR="00CA353F" w:rsidRDefault="00B57BD2">
      <w:pPr>
        <w:suppressAutoHyphens/>
        <w:ind w:firstLine="567"/>
        <w:jc w:val="both"/>
        <w:textAlignment w:val="center"/>
      </w:pPr>
    </w:p>
    <w:p w14:paraId="0DA54850" w14:textId="77777777" w:rsidR="00CA353F" w:rsidRDefault="00B57BD2">
      <w:pPr>
        <w:keepLines/>
        <w:suppressAutoHyphens/>
        <w:jc w:val="center"/>
        <w:textAlignment w:val="center"/>
        <w:rPr>
          <w:b/>
          <w:bCs/>
          <w:caps/>
        </w:rPr>
      </w:pPr>
      <w:r w:rsidR="002C3F58">
        <w:rPr>
          <w:b/>
          <w:bCs/>
          <w:caps/>
        </w:rPr>
        <w:t>III</w:t>
      </w:r>
      <w:r w:rsidR="002C3F58">
        <w:rPr>
          <w:b/>
          <w:bCs/>
          <w:caps/>
        </w:rPr>
        <w:t xml:space="preserve">. </w:t>
      </w:r>
      <w:r w:rsidR="002C3F58">
        <w:rPr>
          <w:b/>
          <w:bCs/>
          <w:caps/>
        </w:rPr>
        <w:t>ŽYMĖJIMAI</w:t>
      </w:r>
    </w:p>
    <w:p w14:paraId="0DA54851" w14:textId="77777777" w:rsidR="00CA353F" w:rsidRDefault="00CA353F">
      <w:pPr>
        <w:suppressAutoHyphens/>
        <w:ind w:firstLine="567"/>
        <w:jc w:val="both"/>
        <w:textAlignment w:val="center"/>
      </w:pPr>
    </w:p>
    <w:p w14:paraId="0DA54852" w14:textId="77777777" w:rsidR="00CA353F" w:rsidRDefault="002C3F58">
      <w:pPr>
        <w:suppressAutoHyphens/>
        <w:ind w:firstLine="567"/>
        <w:jc w:val="both"/>
        <w:textAlignment w:val="center"/>
      </w:pPr>
      <w:r>
        <w:t>C</w:t>
      </w:r>
      <w:r>
        <w:rPr>
          <w:vertAlign w:val="subscript"/>
        </w:rPr>
        <w:t>baz</w:t>
      </w:r>
      <w:r>
        <w:t xml:space="preserve"> – bazinė žemutinė dujų degimo šilumos vertė (kaloringumas), lygi 7900 kcal/m</w:t>
      </w:r>
      <w:r>
        <w:rPr>
          <w:vertAlign w:val="superscript"/>
        </w:rPr>
        <w:t>3</w:t>
      </w:r>
      <w:r>
        <w:t>;</w:t>
      </w:r>
    </w:p>
    <w:p w14:paraId="0DA54853" w14:textId="77777777" w:rsidR="00CA353F" w:rsidRDefault="002C3F58">
      <w:pPr>
        <w:suppressAutoHyphens/>
        <w:ind w:firstLine="567"/>
        <w:jc w:val="both"/>
        <w:textAlignment w:val="center"/>
      </w:pPr>
      <w:r>
        <w:t>C</w:t>
      </w:r>
      <w:r>
        <w:rPr>
          <w:vertAlign w:val="subscript"/>
        </w:rPr>
        <w:t>v</w:t>
      </w:r>
      <w:r>
        <w:t xml:space="preserve"> – praėjusių paskutinių 12 mėnesių, prieš pateikiant Komisijai duomenis, vidutinė žemutinė dujų degimo šilumos vertė;</w:t>
      </w:r>
    </w:p>
    <w:p w14:paraId="0DA54854" w14:textId="77777777" w:rsidR="00CA353F" w:rsidRDefault="002C3F58">
      <w:pPr>
        <w:suppressAutoHyphens/>
        <w:ind w:firstLine="567"/>
        <w:jc w:val="both"/>
        <w:textAlignment w:val="center"/>
      </w:pPr>
      <w:r>
        <w:t>C</w:t>
      </w:r>
      <w:r>
        <w:rPr>
          <w:vertAlign w:val="subscript"/>
        </w:rPr>
        <w:t xml:space="preserve">v buit </w:t>
      </w:r>
      <w:r>
        <w:t>– praėjusių metų atitinkamo laikotarpio vidutinė žemutinė dujų degimo šilumos vertė, naudojama buitinių vartotojų dujų pirkimo (importo) kainos skaičiavimuose;</w:t>
      </w:r>
    </w:p>
    <w:p w14:paraId="0DA54855" w14:textId="77777777" w:rsidR="00CA353F" w:rsidRDefault="002C3F58">
      <w:pPr>
        <w:suppressAutoHyphens/>
        <w:ind w:firstLine="567"/>
        <w:jc w:val="both"/>
        <w:textAlignment w:val="center"/>
      </w:pPr>
      <w:r>
        <w:t>E</w:t>
      </w:r>
      <w:r>
        <w:rPr>
          <w:vertAlign w:val="subscript"/>
        </w:rPr>
        <w:t>ef</w:t>
      </w:r>
      <w:r>
        <w:t xml:space="preserve"> – efektyvumo rodiklis;</w:t>
      </w:r>
    </w:p>
    <w:p w14:paraId="0DA54856" w14:textId="77777777" w:rsidR="00CA353F" w:rsidRDefault="002C3F58">
      <w:pPr>
        <w:suppressAutoHyphens/>
        <w:ind w:firstLine="567"/>
        <w:jc w:val="both"/>
        <w:textAlignment w:val="center"/>
      </w:pPr>
      <w:r>
        <w:t>I</w:t>
      </w:r>
      <w:r>
        <w:rPr>
          <w:vertAlign w:val="subscript"/>
        </w:rPr>
        <w:t>infl </w:t>
      </w:r>
      <w:r>
        <w:t>– infliacijos koregavimo koeficientas;</w:t>
      </w:r>
    </w:p>
    <w:p w14:paraId="0DA54857" w14:textId="77777777" w:rsidR="00CA353F" w:rsidRDefault="002C3F58">
      <w:pPr>
        <w:suppressAutoHyphens/>
        <w:ind w:firstLine="567"/>
        <w:jc w:val="both"/>
        <w:textAlignment w:val="center"/>
      </w:pPr>
      <w:r>
        <w:t>I</w:t>
      </w:r>
      <w:r>
        <w:rPr>
          <w:vertAlign w:val="subscript"/>
        </w:rPr>
        <w:t>nusid</w:t>
      </w:r>
      <w:r>
        <w:t xml:space="preserve"> – nusidėvėjimo (amortizacijos) sąnaudų koregavimo koeficientas;</w:t>
      </w:r>
    </w:p>
    <w:p w14:paraId="0DA54858" w14:textId="77777777" w:rsidR="00CA353F" w:rsidRDefault="002C3F58">
      <w:pPr>
        <w:suppressAutoHyphens/>
        <w:ind w:firstLine="567"/>
        <w:jc w:val="both"/>
        <w:textAlignment w:val="center"/>
      </w:pPr>
      <w:r>
        <w:t>I</w:t>
      </w:r>
      <w:r>
        <w:rPr>
          <w:vertAlign w:val="subscript"/>
        </w:rPr>
        <w:t>q</w:t>
      </w:r>
      <w:r>
        <w:t xml:space="preserve"> – dujų kiekio pokyčio koregavimo koeficientas;</w:t>
      </w:r>
    </w:p>
    <w:p w14:paraId="0DA54859" w14:textId="77777777" w:rsidR="00CA353F" w:rsidRDefault="002C3F58">
      <w:pPr>
        <w:suppressAutoHyphens/>
        <w:ind w:firstLine="567"/>
        <w:jc w:val="both"/>
        <w:textAlignment w:val="center"/>
      </w:pPr>
      <w:r>
        <w:t>I</w:t>
      </w:r>
      <w:r>
        <w:rPr>
          <w:vertAlign w:val="subscript"/>
        </w:rPr>
        <w:t>m </w:t>
      </w:r>
      <w:r>
        <w:t>– Lietuvos statistikos departamento prie Lietuvos Respublikos Vyriausybės paskelbta paskutinio mėnesio metinė infliacija;</w:t>
      </w:r>
    </w:p>
    <w:p w14:paraId="0DA5485A" w14:textId="77777777" w:rsidR="00CA353F" w:rsidRDefault="002C3F58">
      <w:pPr>
        <w:suppressAutoHyphens/>
        <w:ind w:firstLine="567"/>
        <w:jc w:val="both"/>
        <w:textAlignment w:val="center"/>
      </w:pPr>
      <w:r>
        <w:t>K</w:t>
      </w:r>
      <w:r>
        <w:rPr>
          <w:vertAlign w:val="subscript"/>
        </w:rPr>
        <w:t>c</w:t>
      </w:r>
      <w:r>
        <w:t xml:space="preserve"> – žemutinės dujų degimo šilumos vertės pataisos koeficientas;</w:t>
      </w:r>
    </w:p>
    <w:p w14:paraId="0DA5485B" w14:textId="77777777" w:rsidR="00CA353F" w:rsidRDefault="002C3F58">
      <w:pPr>
        <w:suppressAutoHyphens/>
        <w:ind w:firstLine="567"/>
        <w:jc w:val="both"/>
        <w:textAlignment w:val="center"/>
      </w:pPr>
      <w:r>
        <w:t>K</w:t>
      </w:r>
      <w:r>
        <w:rPr>
          <w:vertAlign w:val="subscript"/>
        </w:rPr>
        <w:t>c buit</w:t>
      </w:r>
      <w:r>
        <w:t xml:space="preserve"> – žemutinės dujų degimo šilumos vertės pataisos koeficientas, naudojamas buitinių vartotojų dujų pirkimo (importo) kainos skaičiavimuose;</w:t>
      </w:r>
    </w:p>
    <w:p w14:paraId="0DA5485C" w14:textId="77777777" w:rsidR="00CA353F" w:rsidRDefault="002C3F58">
      <w:pPr>
        <w:suppressAutoHyphens/>
        <w:ind w:firstLine="567"/>
        <w:jc w:val="both"/>
        <w:textAlignment w:val="center"/>
      </w:pPr>
      <w:r>
        <w:t>K</w:t>
      </w:r>
      <w:r>
        <w:rPr>
          <w:vertAlign w:val="subscript"/>
        </w:rPr>
        <w:t>k</w:t>
      </w:r>
      <w:r>
        <w:t xml:space="preserve"> – tiekimo veiklos sąnaudų koregavimo koeficientas;</w:t>
      </w:r>
    </w:p>
    <w:p w14:paraId="0DA5485D" w14:textId="77777777" w:rsidR="00CA353F" w:rsidRDefault="002C3F58">
      <w:pPr>
        <w:suppressAutoHyphens/>
        <w:ind w:firstLine="567"/>
        <w:jc w:val="both"/>
        <w:textAlignment w:val="center"/>
      </w:pPr>
      <w:r>
        <w:t>K</w:t>
      </w:r>
      <w:r>
        <w:rPr>
          <w:vertAlign w:val="subscript"/>
        </w:rPr>
        <w:t>pask t</w:t>
      </w:r>
      <w:r>
        <w:t xml:space="preserve"> – paskirtojo tiekimo sąnaudų koregavimo koeficientas;</w:t>
      </w:r>
    </w:p>
    <w:p w14:paraId="0DA5485E" w14:textId="77777777" w:rsidR="00CA353F" w:rsidRDefault="002C3F58">
      <w:pPr>
        <w:suppressAutoHyphens/>
        <w:ind w:firstLine="567"/>
        <w:jc w:val="both"/>
        <w:textAlignment w:val="center"/>
      </w:pPr>
      <w:r>
        <w:t>K</w:t>
      </w:r>
      <w:r>
        <w:rPr>
          <w:vertAlign w:val="subscript"/>
        </w:rPr>
        <w:t>t saug</w:t>
      </w:r>
      <w:r>
        <w:t> – tiekimo saugumo buitiniams vartotojams užtikrinimo sąnaudų koregavimo koeficientas;</w:t>
      </w:r>
    </w:p>
    <w:p w14:paraId="0DA5485F" w14:textId="77777777" w:rsidR="00CA353F" w:rsidRDefault="002C3F58">
      <w:pPr>
        <w:suppressAutoHyphens/>
        <w:ind w:firstLine="567"/>
        <w:jc w:val="both"/>
        <w:textAlignment w:val="center"/>
      </w:pPr>
      <w:r>
        <w:t>L</w:t>
      </w:r>
      <w:r>
        <w:rPr>
          <w:vertAlign w:val="subscript"/>
        </w:rPr>
        <w:t>k</w:t>
      </w:r>
      <w:r>
        <w:t> – koreguojama tiekimo sąnaudų dalis;</w:t>
      </w:r>
    </w:p>
    <w:p w14:paraId="0DA54860" w14:textId="77777777" w:rsidR="00CA353F" w:rsidRDefault="002C3F58">
      <w:pPr>
        <w:suppressAutoHyphens/>
        <w:ind w:firstLine="567"/>
        <w:jc w:val="both"/>
        <w:textAlignment w:val="center"/>
      </w:pPr>
      <w:r>
        <w:t>L</w:t>
      </w:r>
      <w:r>
        <w:rPr>
          <w:vertAlign w:val="subscript"/>
        </w:rPr>
        <w:t>nusid</w:t>
      </w:r>
      <w:r>
        <w:t> – koreguojama nusidėvėjimo (amortizacijos) sąnaudų dalis;</w:t>
      </w:r>
    </w:p>
    <w:p w14:paraId="0DA54861" w14:textId="77777777" w:rsidR="00CA353F" w:rsidRDefault="002C3F58">
      <w:pPr>
        <w:suppressAutoHyphens/>
        <w:ind w:firstLine="567"/>
        <w:jc w:val="both"/>
        <w:textAlignment w:val="center"/>
      </w:pPr>
      <w:r>
        <w:t>L</w:t>
      </w:r>
      <w:r>
        <w:rPr>
          <w:vertAlign w:val="subscript"/>
        </w:rPr>
        <w:t>pask t</w:t>
      </w:r>
      <w:r>
        <w:t> – koreguojama paskirtojo tiekimo sąnaudų dalis;</w:t>
      </w:r>
    </w:p>
    <w:p w14:paraId="0DA54862" w14:textId="77777777" w:rsidR="00CA353F" w:rsidRDefault="002C3F58">
      <w:pPr>
        <w:suppressAutoHyphens/>
        <w:ind w:firstLine="567"/>
        <w:jc w:val="both"/>
        <w:textAlignment w:val="center"/>
      </w:pPr>
      <w:r>
        <w:t>L</w:t>
      </w:r>
      <w:r>
        <w:rPr>
          <w:vertAlign w:val="subscript"/>
        </w:rPr>
        <w:t>t saug</w:t>
      </w:r>
      <w:r>
        <w:t> – koreguojama tiekimo saugumo buitiniams vartotojams užtikrinimo sąnaudų dalis;</w:t>
      </w:r>
    </w:p>
    <w:p w14:paraId="0DA54863" w14:textId="77777777" w:rsidR="00CA353F" w:rsidRDefault="002C3F58">
      <w:pPr>
        <w:suppressAutoHyphens/>
        <w:ind w:firstLine="567"/>
        <w:jc w:val="both"/>
        <w:textAlignment w:val="center"/>
      </w:pPr>
      <w:r>
        <w:t>L</w:t>
      </w:r>
      <w:r>
        <w:rPr>
          <w:vertAlign w:val="superscript"/>
        </w:rPr>
        <w:t>t</w:t>
      </w:r>
      <w:r>
        <w:rPr>
          <w:vertAlign w:val="subscript"/>
        </w:rPr>
        <w:t>x</w:t>
      </w:r>
      <w:r>
        <w:t> – t-ojo veiksnio dalis visose sąnaudose;</w:t>
      </w:r>
    </w:p>
    <w:p w14:paraId="0DA54864" w14:textId="77777777" w:rsidR="00CA353F" w:rsidRDefault="002C3F58">
      <w:pPr>
        <w:suppressAutoHyphens/>
        <w:ind w:firstLine="567"/>
        <w:jc w:val="both"/>
        <w:textAlignment w:val="center"/>
      </w:pPr>
      <w:r>
        <w:t>Q</w:t>
      </w:r>
      <w:r>
        <w:rPr>
          <w:vertAlign w:val="subscript"/>
        </w:rPr>
        <w:t>baz</w:t>
      </w:r>
      <w:r>
        <w:t> – nustatytas metinis bazinis dujų kiekis;</w:t>
      </w:r>
    </w:p>
    <w:p w14:paraId="0DA54865" w14:textId="77777777" w:rsidR="00CA353F" w:rsidRDefault="002C3F58">
      <w:pPr>
        <w:suppressAutoHyphens/>
        <w:ind w:firstLine="567"/>
        <w:jc w:val="both"/>
        <w:textAlignment w:val="center"/>
      </w:pPr>
      <w:r>
        <w:t>Q</w:t>
      </w:r>
      <w:r>
        <w:rPr>
          <w:vertAlign w:val="subscript"/>
        </w:rPr>
        <w:t>baz i</w:t>
      </w:r>
      <w:r>
        <w:t> – bazinis dujų kiekis i-aisiais kainų reguliavimo metais;</w:t>
      </w:r>
    </w:p>
    <w:p w14:paraId="0DA54866" w14:textId="77777777" w:rsidR="00CA353F" w:rsidRDefault="002C3F58">
      <w:pPr>
        <w:suppressAutoHyphens/>
        <w:ind w:firstLine="567"/>
        <w:jc w:val="both"/>
        <w:textAlignment w:val="center"/>
      </w:pPr>
      <w:r>
        <w:t>Q</w:t>
      </w:r>
      <w:r>
        <w:rPr>
          <w:vertAlign w:val="subscript"/>
        </w:rPr>
        <w:t>buit</w:t>
      </w:r>
      <w:r>
        <w:t> – tiekimo saugumui buitiniams vartotojams užtikrinti reikalingas laikyti dujų kiekis;</w:t>
      </w:r>
    </w:p>
    <w:p w14:paraId="0DA54867" w14:textId="77777777" w:rsidR="00CA353F" w:rsidRDefault="002C3F58">
      <w:pPr>
        <w:suppressAutoHyphens/>
        <w:ind w:firstLine="567"/>
        <w:jc w:val="both"/>
        <w:textAlignment w:val="center"/>
      </w:pPr>
      <w:r>
        <w:t>Q</w:t>
      </w:r>
      <w:r>
        <w:rPr>
          <w:vertAlign w:val="subscript"/>
        </w:rPr>
        <w:t xml:space="preserve"> buit i </w:t>
      </w:r>
      <w:r>
        <w:t xml:space="preserve">– i-ojo pusmečio buitiniams vartotojams parduotas dujų kiekis; </w:t>
      </w:r>
    </w:p>
    <w:p w14:paraId="0DA54868" w14:textId="77777777" w:rsidR="00CA353F" w:rsidRDefault="002C3F58">
      <w:pPr>
        <w:suppressAutoHyphens/>
        <w:ind w:firstLine="567"/>
        <w:jc w:val="both"/>
        <w:textAlignment w:val="center"/>
      </w:pPr>
      <w:r>
        <w:t>Q</w:t>
      </w:r>
      <w:r>
        <w:rPr>
          <w:vertAlign w:val="subscript"/>
        </w:rPr>
        <w:t>i</w:t>
      </w:r>
      <w:r>
        <w:t> – faktinis suvartotas dujų kiekis i-aisiais kainų reguliavimo metais;</w:t>
      </w:r>
    </w:p>
    <w:p w14:paraId="0DA54869" w14:textId="77777777" w:rsidR="00CA353F" w:rsidRDefault="002C3F58">
      <w:pPr>
        <w:suppressAutoHyphens/>
        <w:ind w:firstLine="567"/>
        <w:jc w:val="both"/>
        <w:textAlignment w:val="center"/>
      </w:pPr>
      <w:r>
        <w:t>R</w:t>
      </w:r>
      <w:r>
        <w:rPr>
          <w:vertAlign w:val="subscript"/>
        </w:rPr>
        <w:t>saug</w:t>
      </w:r>
      <w:r>
        <w:t> – palūkanų norma dujų tiekimo saugumui buitiniams vartotojams užtikrinti;</w:t>
      </w:r>
    </w:p>
    <w:p w14:paraId="0DA5486A" w14:textId="77777777" w:rsidR="00CA353F" w:rsidRDefault="002C3F58">
      <w:pPr>
        <w:suppressAutoHyphens/>
        <w:ind w:firstLine="567"/>
        <w:jc w:val="both"/>
        <w:textAlignment w:val="center"/>
      </w:pPr>
      <w:r>
        <w:t>S</w:t>
      </w:r>
      <w:r>
        <w:rPr>
          <w:vertAlign w:val="subscript"/>
        </w:rPr>
        <w:t>baz</w:t>
      </w:r>
      <w:r>
        <w:t> – nustatytos metinės dujų tiekimo bazinės sąnaudos;</w:t>
      </w:r>
    </w:p>
    <w:p w14:paraId="0DA5486B" w14:textId="77777777" w:rsidR="00CA353F" w:rsidRDefault="002C3F58">
      <w:pPr>
        <w:suppressAutoHyphens/>
        <w:ind w:firstLine="567"/>
        <w:jc w:val="both"/>
        <w:textAlignment w:val="center"/>
      </w:pPr>
      <w:r>
        <w:t>S</w:t>
      </w:r>
      <w:r>
        <w:rPr>
          <w:vertAlign w:val="subscript"/>
        </w:rPr>
        <w:t>nusid baz i </w:t>
      </w:r>
      <w:r>
        <w:t>– bazinės nusidėvėjimo (amortizacijos) sąnaudos, patiriamos i-aisiais kainų reguliavimo metais;</w:t>
      </w:r>
    </w:p>
    <w:p w14:paraId="0DA5486C" w14:textId="77777777" w:rsidR="00CA353F" w:rsidRDefault="002C3F58">
      <w:pPr>
        <w:suppressAutoHyphens/>
        <w:ind w:firstLine="567"/>
        <w:jc w:val="both"/>
        <w:textAlignment w:val="center"/>
      </w:pPr>
      <w:r>
        <w:t>S</w:t>
      </w:r>
      <w:r>
        <w:rPr>
          <w:vertAlign w:val="subscript"/>
        </w:rPr>
        <w:t>nusid i </w:t>
      </w:r>
      <w:r>
        <w:t>– faktinės nusidėvėjimo (amortizacijos) sąnaudos, patirtos i-aisiais kainų reguliavimo metais;</w:t>
      </w:r>
    </w:p>
    <w:p w14:paraId="0DA5486D" w14:textId="77777777" w:rsidR="00CA353F" w:rsidRDefault="002C3F58">
      <w:pPr>
        <w:suppressAutoHyphens/>
        <w:ind w:firstLine="567"/>
        <w:jc w:val="both"/>
        <w:textAlignment w:val="center"/>
      </w:pPr>
      <w:r>
        <w:t>S</w:t>
      </w:r>
      <w:r>
        <w:rPr>
          <w:vertAlign w:val="subscript"/>
        </w:rPr>
        <w:t>pask t</w:t>
      </w:r>
      <w:r>
        <w:t> – paskirtojo tiekimo metinės bazinės sąnaudos, jeigu Komisija įpareigojo dujas tiekiančią įmonę vykdyti paskirtąjį tiekimą;</w:t>
      </w:r>
    </w:p>
    <w:p w14:paraId="0DA5486E" w14:textId="77777777" w:rsidR="00CA353F" w:rsidRDefault="002C3F58">
      <w:pPr>
        <w:suppressAutoHyphens/>
        <w:ind w:firstLine="567"/>
        <w:jc w:val="both"/>
        <w:textAlignment w:val="center"/>
      </w:pPr>
      <w:r>
        <w:t>S</w:t>
      </w:r>
      <w:r>
        <w:rPr>
          <w:vertAlign w:val="subscript"/>
        </w:rPr>
        <w:t>pask t i</w:t>
      </w:r>
      <w:r>
        <w:t> – paskirtojo tiekimo sąnaudos i-aisiais kainų reguliavimo metais;</w:t>
      </w:r>
    </w:p>
    <w:p w14:paraId="0DA5486F" w14:textId="77777777" w:rsidR="00CA353F" w:rsidRDefault="002C3F58">
      <w:pPr>
        <w:suppressAutoHyphens/>
        <w:ind w:firstLine="567"/>
        <w:jc w:val="both"/>
        <w:textAlignment w:val="center"/>
      </w:pPr>
      <w:r>
        <w:t>S</w:t>
      </w:r>
      <w:r>
        <w:rPr>
          <w:vertAlign w:val="subscript"/>
        </w:rPr>
        <w:t>pask t baz i</w:t>
      </w:r>
      <w:r>
        <w:t> – paskirtojo tiekimo bazinės sąnaudos i-aisiais kainų reguliavimo metais;</w:t>
      </w:r>
    </w:p>
    <w:p w14:paraId="0DA54870" w14:textId="77777777" w:rsidR="00CA353F" w:rsidRDefault="002C3F58">
      <w:pPr>
        <w:suppressAutoHyphens/>
        <w:ind w:firstLine="567"/>
        <w:jc w:val="both"/>
        <w:textAlignment w:val="center"/>
      </w:pPr>
      <w:r>
        <w:t>S</w:t>
      </w:r>
      <w:r>
        <w:rPr>
          <w:vertAlign w:val="subscript"/>
        </w:rPr>
        <w:t>saug</w:t>
      </w:r>
      <w:r>
        <w:t> – dujų saugojimo išlaidos;</w:t>
      </w:r>
    </w:p>
    <w:p w14:paraId="0DA54871" w14:textId="77777777" w:rsidR="00CA353F" w:rsidRDefault="002C3F58">
      <w:pPr>
        <w:suppressAutoHyphens/>
        <w:ind w:firstLine="567"/>
        <w:jc w:val="both"/>
        <w:textAlignment w:val="center"/>
      </w:pPr>
      <w:r>
        <w:t>S</w:t>
      </w:r>
      <w:r>
        <w:rPr>
          <w:vertAlign w:val="subscript"/>
        </w:rPr>
        <w:t>t saug</w:t>
      </w:r>
      <w:r>
        <w:t> – dujų tiekimo saugumo buitiniams vartotojams užtikrinimo metinės bazinės sąnaudos;</w:t>
      </w:r>
    </w:p>
    <w:p w14:paraId="0DA54872" w14:textId="77777777" w:rsidR="00CA353F" w:rsidRDefault="002C3F58">
      <w:pPr>
        <w:suppressAutoHyphens/>
        <w:ind w:firstLine="567"/>
        <w:jc w:val="both"/>
        <w:textAlignment w:val="center"/>
      </w:pPr>
      <w:r>
        <w:t>S</w:t>
      </w:r>
      <w:r>
        <w:rPr>
          <w:vertAlign w:val="subscript"/>
        </w:rPr>
        <w:t>t saug i</w:t>
      </w:r>
      <w:r>
        <w:t> – tiekimo saugumo buitiniams vartotojams užtikrinimo sąnaudos i-aisiais kainų reguliavimo metais;</w:t>
      </w:r>
    </w:p>
    <w:p w14:paraId="0DA54873" w14:textId="77777777" w:rsidR="00CA353F" w:rsidRDefault="002C3F58">
      <w:pPr>
        <w:suppressAutoHyphens/>
        <w:ind w:firstLine="567"/>
        <w:jc w:val="both"/>
        <w:textAlignment w:val="center"/>
      </w:pPr>
      <w:r>
        <w:lastRenderedPageBreak/>
        <w:t>S</w:t>
      </w:r>
      <w:r>
        <w:rPr>
          <w:vertAlign w:val="subscript"/>
        </w:rPr>
        <w:t>t saug baz i</w:t>
      </w:r>
      <w:r>
        <w:t> – tiekimo saugumo buitiniams vartotojams užtikrinimo bazinės sąnaudos i-aisiais kainų reguliavimo metais;</w:t>
      </w:r>
    </w:p>
    <w:p w14:paraId="0DA54874" w14:textId="77777777" w:rsidR="00CA353F" w:rsidRDefault="002C3F58">
      <w:pPr>
        <w:suppressAutoHyphens/>
        <w:ind w:firstLine="567"/>
        <w:jc w:val="both"/>
        <w:textAlignment w:val="center"/>
      </w:pPr>
      <w:r>
        <w:t>S</w:t>
      </w:r>
      <w:r>
        <w:rPr>
          <w:vertAlign w:val="subscript"/>
        </w:rPr>
        <w:t>tr saug</w:t>
      </w:r>
      <w:r>
        <w:t> – dujų transportavimo iki/iš saugyklos išlaidos;</w:t>
      </w:r>
    </w:p>
    <w:p w14:paraId="0DA54875" w14:textId="77777777" w:rsidR="00CA353F" w:rsidRDefault="002C3F58">
      <w:pPr>
        <w:suppressAutoHyphens/>
        <w:ind w:firstLine="567"/>
        <w:jc w:val="both"/>
        <w:textAlignment w:val="center"/>
      </w:pPr>
      <w:r>
        <w:t>T</w:t>
      </w:r>
      <w:r>
        <w:rPr>
          <w:vertAlign w:val="subscript"/>
        </w:rPr>
        <w:t>i</w:t>
      </w:r>
      <w:r>
        <w:t> – metinė dujų pirkimo (importo) kaina;</w:t>
      </w:r>
    </w:p>
    <w:p w14:paraId="0DA54876" w14:textId="77777777" w:rsidR="00CA353F" w:rsidRDefault="002C3F58">
      <w:pPr>
        <w:suppressAutoHyphens/>
        <w:ind w:firstLine="567"/>
        <w:jc w:val="both"/>
        <w:textAlignment w:val="center"/>
      </w:pPr>
      <w:r>
        <w:t>T</w:t>
      </w:r>
      <w:r>
        <w:rPr>
          <w:vertAlign w:val="subscript"/>
        </w:rPr>
        <w:t xml:space="preserve">i buit </w:t>
      </w:r>
      <w:r>
        <w:t>– dujų pirkimo (importo) kaina buitiniams vartotojams;</w:t>
      </w:r>
    </w:p>
    <w:p w14:paraId="0DA54877" w14:textId="77777777" w:rsidR="00CA353F" w:rsidRDefault="002C3F58">
      <w:pPr>
        <w:suppressAutoHyphens/>
        <w:ind w:firstLine="567"/>
        <w:jc w:val="both"/>
        <w:textAlignment w:val="center"/>
      </w:pPr>
      <w:r>
        <w:t>T</w:t>
      </w:r>
      <w:r>
        <w:rPr>
          <w:vertAlign w:val="subscript"/>
        </w:rPr>
        <w:t>GD</w:t>
      </w:r>
      <w:r>
        <w:t> – metinė dujų pirkimo (importo) kaina</w:t>
      </w:r>
      <w:r>
        <w:rPr>
          <w:b/>
        </w:rPr>
        <w:t xml:space="preserve">, </w:t>
      </w:r>
      <w:r>
        <w:t xml:space="preserve">įvertinus žemutinės dujų degimo šilumos vertės pataisos koeficientą; </w:t>
      </w:r>
    </w:p>
    <w:p w14:paraId="0DA54878" w14:textId="77777777" w:rsidR="00CA353F" w:rsidRDefault="002C3F58">
      <w:pPr>
        <w:suppressAutoHyphens/>
        <w:ind w:firstLine="567"/>
        <w:jc w:val="both"/>
        <w:textAlignment w:val="center"/>
      </w:pPr>
      <w:r>
        <w:t>T</w:t>
      </w:r>
      <w:r>
        <w:rPr>
          <w:vertAlign w:val="subscript"/>
        </w:rPr>
        <w:t xml:space="preserve">GD buit </w:t>
      </w:r>
      <w:r>
        <w:t xml:space="preserve">– dujų pirkimo (importo) kaina buitiniams vartotojams įvertinus žemutinės dujų degimo šilumos vertės pataisos koeficientą; </w:t>
      </w:r>
    </w:p>
    <w:p w14:paraId="0DA54879" w14:textId="77777777" w:rsidR="00CA353F" w:rsidRDefault="002C3F58">
      <w:pPr>
        <w:suppressAutoHyphens/>
        <w:ind w:firstLine="567"/>
        <w:jc w:val="both"/>
        <w:textAlignment w:val="center"/>
      </w:pPr>
      <w:r>
        <w:t>T</w:t>
      </w:r>
      <w:r>
        <w:rPr>
          <w:vertAlign w:val="subscript"/>
        </w:rPr>
        <w:t xml:space="preserve">GD buit pr i </w:t>
      </w:r>
      <w:r>
        <w:t xml:space="preserve">– i-ojo pusmečio suskaičiuota (prognozuota) dujų pirkimo (importo) kaina buitiniams vartotojams; </w:t>
      </w:r>
    </w:p>
    <w:p w14:paraId="0DA5487A" w14:textId="77777777" w:rsidR="00CA353F" w:rsidRDefault="002C3F58">
      <w:pPr>
        <w:suppressAutoHyphens/>
        <w:ind w:firstLine="567"/>
        <w:jc w:val="both"/>
        <w:textAlignment w:val="center"/>
      </w:pPr>
      <w:r>
        <w:t>T</w:t>
      </w:r>
      <w:r>
        <w:rPr>
          <w:vertAlign w:val="subscript"/>
        </w:rPr>
        <w:t xml:space="preserve">GD buit i </w:t>
      </w:r>
      <w:r>
        <w:t xml:space="preserve">– i-ojo pusmečio dujų pirkimo (importo) kaina buitiniams vartotojams; </w:t>
      </w:r>
    </w:p>
    <w:p w14:paraId="0DA5487B" w14:textId="77777777" w:rsidR="00CA353F" w:rsidRDefault="002C3F58">
      <w:pPr>
        <w:suppressAutoHyphens/>
        <w:ind w:firstLine="567"/>
        <w:jc w:val="both"/>
        <w:textAlignment w:val="center"/>
      </w:pPr>
      <w:r>
        <w:t>T</w:t>
      </w:r>
      <w:r>
        <w:rPr>
          <w:vertAlign w:val="subscript"/>
        </w:rPr>
        <w:t xml:space="preserve"> rib</w:t>
      </w:r>
      <w:r>
        <w:t> – dujų tiekimo kainos viršutinė riba;</w:t>
      </w:r>
    </w:p>
    <w:p w14:paraId="0DA5487C" w14:textId="77777777" w:rsidR="00CA353F" w:rsidRDefault="002C3F58">
      <w:pPr>
        <w:suppressAutoHyphens/>
        <w:ind w:firstLine="567"/>
        <w:jc w:val="both"/>
        <w:textAlignment w:val="center"/>
      </w:pPr>
      <w:r>
        <w:t>?T</w:t>
      </w:r>
      <w:r>
        <w:rPr>
          <w:vertAlign w:val="subscript"/>
        </w:rPr>
        <w:t xml:space="preserve">GD buit </w:t>
      </w:r>
      <w:r>
        <w:t> – skirtumas tarp faktinės ir suskaičiuotos (prognozuotos) dujų pirkimo (importo) kainos buitiniams vartotojams;</w:t>
      </w:r>
    </w:p>
    <w:p w14:paraId="0DA5487D" w14:textId="77777777" w:rsidR="00CA353F" w:rsidRDefault="002C3F58">
      <w:pPr>
        <w:suppressAutoHyphens/>
        <w:ind w:firstLine="567"/>
        <w:jc w:val="both"/>
        <w:textAlignment w:val="center"/>
      </w:pPr>
      <w:r>
        <w:t>T</w:t>
      </w:r>
      <w:r>
        <w:rPr>
          <w:vertAlign w:val="subscript"/>
        </w:rPr>
        <w:t>GD buit  f i</w:t>
      </w:r>
      <w:r>
        <w:t xml:space="preserve"> – i-ojo pusmečio faktinė dujų pirkimo (importo) kaina buitiniams vartotojams; </w:t>
      </w:r>
    </w:p>
    <w:p w14:paraId="0DA5487E" w14:textId="77777777" w:rsidR="00CA353F" w:rsidRDefault="002C3F58">
      <w:pPr>
        <w:suppressAutoHyphens/>
        <w:ind w:firstLine="567"/>
        <w:jc w:val="both"/>
        <w:textAlignment w:val="center"/>
      </w:pPr>
      <w:r>
        <w:t>X – rodiklis, atspindintis nuo įmonės veiklos nepriklausančių veiksnių pokyčius.</w:t>
      </w:r>
    </w:p>
    <w:p w14:paraId="0DA5487F" w14:textId="77777777" w:rsidR="00CA353F" w:rsidRDefault="00B57BD2">
      <w:pPr>
        <w:suppressAutoHyphens/>
        <w:ind w:firstLine="567"/>
        <w:jc w:val="both"/>
        <w:textAlignment w:val="center"/>
        <w:rPr>
          <w:b/>
        </w:rPr>
      </w:pPr>
    </w:p>
    <w:p w14:paraId="0DA54880" w14:textId="77777777" w:rsidR="00CA353F" w:rsidRDefault="00B57BD2">
      <w:pPr>
        <w:keepLines/>
        <w:suppressAutoHyphens/>
        <w:jc w:val="center"/>
        <w:textAlignment w:val="center"/>
        <w:rPr>
          <w:b/>
          <w:bCs/>
          <w:caps/>
        </w:rPr>
      </w:pPr>
      <w:r w:rsidR="002C3F58">
        <w:rPr>
          <w:b/>
          <w:bCs/>
          <w:caps/>
        </w:rPr>
        <w:t>IV</w:t>
      </w:r>
      <w:r w:rsidR="002C3F58">
        <w:rPr>
          <w:b/>
          <w:bCs/>
          <w:caps/>
        </w:rPr>
        <w:t xml:space="preserve">. </w:t>
      </w:r>
      <w:r w:rsidR="002C3F58">
        <w:rPr>
          <w:b/>
          <w:bCs/>
          <w:caps/>
        </w:rPr>
        <w:t>BAZINIO DUJŲ KIEKIO IR BAZINIŲ SĄNAUDŲ SKAIČIAVIMAS</w:t>
      </w:r>
    </w:p>
    <w:p w14:paraId="0DA54881" w14:textId="77777777" w:rsidR="00CA353F" w:rsidRDefault="00CA353F">
      <w:pPr>
        <w:suppressAutoHyphens/>
        <w:ind w:firstLine="567"/>
        <w:jc w:val="both"/>
        <w:textAlignment w:val="center"/>
      </w:pPr>
    </w:p>
    <w:p w14:paraId="0DA54882" w14:textId="77777777" w:rsidR="00CA353F" w:rsidRDefault="00B57BD2">
      <w:pPr>
        <w:suppressAutoHyphens/>
        <w:ind w:firstLine="567"/>
        <w:jc w:val="both"/>
        <w:textAlignment w:val="center"/>
      </w:pPr>
      <w:r w:rsidR="002C3F58">
        <w:t>33</w:t>
      </w:r>
      <w:r w:rsidR="002C3F58">
        <w:t xml:space="preserve">. Dujų tiekimo kainų viršutinių ribų kainų skaičiavimuose bazinis dujų kiekis nustatomas, įvertinus dujų įmonės paskutinių metų, einančių prieš reguliavimo periodą, tiekiamų dujų kiekius ir jų prognozę penkeriems metams bei priežastis, lėmusias dujų kiekio pasikeitimus. </w:t>
      </w:r>
    </w:p>
    <w:p w14:paraId="0DA54883" w14:textId="77777777" w:rsidR="00CA353F" w:rsidRDefault="00B57BD2">
      <w:pPr>
        <w:suppressAutoHyphens/>
        <w:ind w:firstLine="567"/>
        <w:jc w:val="both"/>
        <w:textAlignment w:val="center"/>
      </w:pPr>
      <w:r w:rsidR="002C3F58">
        <w:t>34</w:t>
      </w:r>
      <w:r w:rsidR="002C3F58">
        <w:t>. Komisija nustato metines bazines sąnaudas, remdamasi paskutinių metų, einančių prieš reguliavimo periodą, dujų įmonės tiekimo veiklos sąnaudomis ir jų prognoze penkeriems metams.</w:t>
      </w:r>
    </w:p>
    <w:p w14:paraId="0DA54884" w14:textId="77777777" w:rsidR="00CA353F" w:rsidRDefault="00B57BD2">
      <w:pPr>
        <w:suppressAutoHyphens/>
        <w:ind w:firstLine="567"/>
        <w:jc w:val="both"/>
        <w:textAlignment w:val="center"/>
      </w:pPr>
      <w:r w:rsidR="002C3F58">
        <w:t>35</w:t>
      </w:r>
      <w:r w:rsidR="002C3F58">
        <w:t>. Dujų įmonės veiklos sąnaudoms yra priskiriamos dujų tiekimo veiklos mažiausios sąnaudos, būtinos patikimam ir saugiam dujų tiekimui vartotojams užtikrinti. Skaičiuojant šias sąnaudas, būtina vadovautis galiojančiais įstatymais bei kitais teisės aktais.</w:t>
      </w:r>
    </w:p>
    <w:p w14:paraId="0DA54885" w14:textId="77777777" w:rsidR="00CA353F" w:rsidRDefault="00B57BD2">
      <w:pPr>
        <w:suppressAutoHyphens/>
        <w:ind w:firstLine="567"/>
        <w:jc w:val="both"/>
        <w:textAlignment w:val="center"/>
      </w:pPr>
      <w:r w:rsidR="002C3F58">
        <w:t>36</w:t>
      </w:r>
      <w:r w:rsidR="002C3F58">
        <w:t>. Skaičiuojant dujų tiekimo kainų viršutines ribas, į skaičiavimus įtraukiamos tos dujų įmonės sąnaudos, kurios susidaro vykdant pagrindinę ūkinę-finansinę veiklą ir ilgalaikes veiklos programas (išskyrus planuojamų investicijų nusidėvėjimo (amortizacijos) sąnaudas).</w:t>
      </w:r>
    </w:p>
    <w:p w14:paraId="0DA54886" w14:textId="77777777" w:rsidR="00CA353F" w:rsidRDefault="00B57BD2">
      <w:pPr>
        <w:suppressAutoHyphens/>
        <w:ind w:firstLine="567"/>
        <w:jc w:val="both"/>
        <w:textAlignment w:val="center"/>
      </w:pPr>
      <w:r w:rsidR="002C3F58">
        <w:t>37</w:t>
      </w:r>
      <w:r w:rsidR="002C3F58">
        <w:t>. Planuojamos sąnaudos, susijusios su investicijų, numatytų ilgalaikėje veiklos programoje, įgyvendinimu, turi būti nurodomos atskirai.</w:t>
      </w:r>
    </w:p>
    <w:p w14:paraId="0DA54887" w14:textId="77777777" w:rsidR="00CA353F" w:rsidRDefault="00B57BD2">
      <w:pPr>
        <w:suppressAutoHyphens/>
        <w:ind w:firstLine="567"/>
        <w:jc w:val="both"/>
        <w:textAlignment w:val="center"/>
      </w:pPr>
      <w:r w:rsidR="002C3F58">
        <w:t>38</w:t>
      </w:r>
      <w:r w:rsidR="002C3F58">
        <w:t>. Dujų įmonės veiklos (eksploatacinės) sąnaudos skirstomos ir skaičiuojamos atskirai:</w:t>
      </w:r>
    </w:p>
    <w:p w14:paraId="0DA54888" w14:textId="77777777" w:rsidR="00CA353F" w:rsidRDefault="00B57BD2">
      <w:pPr>
        <w:suppressAutoHyphens/>
        <w:ind w:firstLine="567"/>
        <w:jc w:val="both"/>
        <w:textAlignment w:val="center"/>
      </w:pPr>
      <w:r w:rsidR="002C3F58">
        <w:t>38.1</w:t>
      </w:r>
      <w:r w:rsidR="002C3F58">
        <w:t>. dujų tiekimo;</w:t>
      </w:r>
    </w:p>
    <w:p w14:paraId="0DA54889" w14:textId="77777777" w:rsidR="00CA353F" w:rsidRDefault="00B57BD2">
      <w:pPr>
        <w:suppressAutoHyphens/>
        <w:ind w:firstLine="567"/>
        <w:jc w:val="both"/>
        <w:textAlignment w:val="center"/>
      </w:pPr>
      <w:r w:rsidR="002C3F58">
        <w:t>38.2</w:t>
      </w:r>
      <w:r w:rsidR="002C3F58">
        <w:t>. kitų paslaugų ir pardavimų.</w:t>
      </w:r>
    </w:p>
    <w:p w14:paraId="0DA5488A" w14:textId="77777777" w:rsidR="00CA353F" w:rsidRDefault="00B57BD2">
      <w:pPr>
        <w:suppressAutoHyphens/>
        <w:ind w:firstLine="567"/>
        <w:jc w:val="both"/>
        <w:textAlignment w:val="center"/>
      </w:pPr>
      <w:r w:rsidR="002C3F58">
        <w:t>39</w:t>
      </w:r>
      <w:r w:rsidR="002C3F58">
        <w:t xml:space="preserve">. Gamtinių dujų tiekimo veiklos sąnaudos atskiriamos, tvarkant šios veiklos atskirą buhalterinę apskaitą. </w:t>
      </w:r>
    </w:p>
    <w:p w14:paraId="0DA5488B" w14:textId="77777777" w:rsidR="00CA353F" w:rsidRDefault="00B57BD2">
      <w:pPr>
        <w:suppressAutoHyphens/>
        <w:ind w:firstLine="567"/>
        <w:jc w:val="both"/>
        <w:textAlignment w:val="center"/>
      </w:pPr>
      <w:r w:rsidR="002C3F58">
        <w:t>40</w:t>
      </w:r>
      <w:r w:rsidR="002C3F58">
        <w:t>. Tiesioginiais skaičiavimais sąnaudos priskiriamos atitinkamai veiklai. Sąnaudos, kurios tiesiogiai nesuskaičiuojamos, atskiriamos pagal dujų įmonės nustatytas ir su Komisija suderintas veiklų apskaitų atskyrimo taisykles.</w:t>
      </w:r>
    </w:p>
    <w:p w14:paraId="0DA5488C" w14:textId="77777777" w:rsidR="00CA353F" w:rsidRDefault="00B57BD2">
      <w:pPr>
        <w:suppressAutoHyphens/>
        <w:ind w:firstLine="567"/>
        <w:jc w:val="both"/>
        <w:textAlignment w:val="center"/>
      </w:pPr>
      <w:r w:rsidR="002C3F58">
        <w:t>41</w:t>
      </w:r>
      <w:r w:rsidR="002C3F58">
        <w:t>. Gamtinių dujų tiekimo veiklos sąnaudos skaičiuojamos, vadovaujantis šiomis nuostatomis:</w:t>
      </w:r>
    </w:p>
    <w:p w14:paraId="0DA5488D" w14:textId="77777777" w:rsidR="00CA353F" w:rsidRDefault="00B57BD2">
      <w:pPr>
        <w:suppressAutoHyphens/>
        <w:ind w:firstLine="567"/>
        <w:jc w:val="both"/>
        <w:textAlignment w:val="center"/>
      </w:pPr>
      <w:r w:rsidR="002C3F58">
        <w:t>41.1</w:t>
      </w:r>
      <w:r w:rsidR="002C3F58">
        <w:t xml:space="preserve">. Materialinės ir joms prilygintos sąnaudos skaičiuojamos, remiantis paskutinių metų, einančių prieš reguliavimo periodą, sąnaudomis ir jų prognoze penkeriems metams, kuri sudaroma, atsižvelgus į dujų įmonės ilgalaikės veiklos programą. </w:t>
      </w:r>
    </w:p>
    <w:p w14:paraId="0DA5488E" w14:textId="77777777" w:rsidR="00CA353F" w:rsidRDefault="00B57BD2">
      <w:pPr>
        <w:suppressAutoHyphens/>
        <w:ind w:firstLine="567"/>
        <w:jc w:val="both"/>
        <w:textAlignment w:val="center"/>
      </w:pPr>
      <w:r w:rsidR="002C3F58">
        <w:t>41</w:t>
      </w:r>
      <w:r w:rsidR="002C3F58">
        <w:rPr>
          <w:b/>
        </w:rPr>
        <w:t>.</w:t>
      </w:r>
      <w:r w:rsidR="002C3F58">
        <w:t>2</w:t>
      </w:r>
      <w:r w:rsidR="002C3F58">
        <w:t>. Sąnaudos darbui apmokėti skaičiuojamos paskutinių metų, einančių prieš reguliavimo periodą, Komisijos nustatytas</w:t>
      </w:r>
      <w:r w:rsidR="002C3F58">
        <w:rPr>
          <w:b/>
        </w:rPr>
        <w:t xml:space="preserve"> </w:t>
      </w:r>
      <w:r w:rsidR="002C3F58">
        <w:t xml:space="preserve">sąnaudas koreguojant Finansų ministerijos skelbiamu prognozuojamu vidutiniu darbo užmokesčio pokyčiu bei planuojamu darbuotojų </w:t>
      </w:r>
      <w:r w:rsidR="002C3F58">
        <w:lastRenderedPageBreak/>
        <w:t>skaičiaus pasikeitimu dėl dujų įmonės ilgalaikėje veiklos programoje numatytų priemonių bei teisės aktų reikalavimų įgyvendinimo.</w:t>
      </w:r>
    </w:p>
    <w:p w14:paraId="0DA5488F" w14:textId="77777777" w:rsidR="00CA353F" w:rsidRDefault="002C3F58">
      <w:pPr>
        <w:suppressAutoHyphens/>
        <w:ind w:firstLine="567"/>
        <w:jc w:val="both"/>
        <w:textAlignment w:val="center"/>
      </w:pPr>
      <w:r>
        <w:t>Komisija dujų įmonėms nustato konkrečius ir pamatuojamus darbo efektyvumo rodiklius. Nustatydama šiuos rodiklius, Komisija atsižvelgia į ankstesniais reguliavimo periodais įgyvendintas veiklos efektyvumo priemones. Jei dujų įmonės nepasiekia Komisijos nustatytų efektyvumo rodiklių, sąnaudos darbui apmokėti atitinkamai koreguojamos darbo našumo rodikliu.</w:t>
      </w:r>
    </w:p>
    <w:p w14:paraId="0DA54890" w14:textId="77777777" w:rsidR="00CA353F" w:rsidRDefault="00B57BD2">
      <w:pPr>
        <w:suppressAutoHyphens/>
        <w:ind w:firstLine="567"/>
        <w:jc w:val="both"/>
        <w:textAlignment w:val="center"/>
      </w:pPr>
      <w:r w:rsidR="002C3F58">
        <w:t>41.3</w:t>
      </w:r>
      <w:r w:rsidR="002C3F58">
        <w:t>. Įmokos socialiniam draudimui bei garantiniam fondui skaičiuojamos teisės aktų nustatyta tvarka.</w:t>
      </w:r>
    </w:p>
    <w:p w14:paraId="0DA54891" w14:textId="77777777" w:rsidR="00CA353F" w:rsidRDefault="00B57BD2">
      <w:pPr>
        <w:suppressAutoHyphens/>
        <w:ind w:firstLine="567"/>
        <w:jc w:val="both"/>
        <w:textAlignment w:val="center"/>
      </w:pPr>
      <w:r w:rsidR="002C3F58">
        <w:t>41.4</w:t>
      </w:r>
      <w:r w:rsidR="002C3F58">
        <w:t>. Nusidėvėjimo sąnaudos skaičiuojamos pagal Metodikos priede nustatytus ilgalaikio turto nusidėvėjimo (amortizacijos) normatyvus nuo dujų įmonių neperkainuoto ilgalaikio turto vertės, apskaičiuotos prieš tuos metus, kuriems yra koreguojama viršutinė kainos riba,</w:t>
      </w:r>
      <w:r w:rsidR="002C3F58">
        <w:rPr>
          <w:b/>
        </w:rPr>
        <w:t xml:space="preserve"> </w:t>
      </w:r>
      <w:r w:rsidR="002C3F58">
        <w:t xml:space="preserve">koreguojant įmonių per kainų viršutinių ribų galiojimo laikotarpį numatomo perleisti ir nurašyti ilgalaikio turto nusidėvėjimo sąnaudomis. Šios sąnaudos skaičiuojamos, taikant tiesiogiai proporcingą nusidėvėjimo metodą. Tuo atveju, kai dujų įmonėje atsiranda nauja turto grupė, iki tol, kol bus pakeista Metodika, dujų įmonė taiko individualų nusidėvėjimo normatyvą, suderinusi jį su Komisija. </w:t>
      </w:r>
    </w:p>
    <w:p w14:paraId="0DA54892" w14:textId="77777777" w:rsidR="00CA353F" w:rsidRDefault="002C3F58">
      <w:pPr>
        <w:suppressAutoHyphens/>
        <w:ind w:firstLine="567"/>
        <w:jc w:val="both"/>
        <w:textAlignment w:val="center"/>
      </w:pPr>
      <w:r>
        <w:t>Komisija kontroliuoja nusidėvėjimo sąnaudų panaudojimą. Lėšos, gautos nusidėvėjimo sąnaudoms dengti, gali būti panaudotos tik atitinkamai reguliuojamai veiklai. Komisija sprendžia dėl lėšų, gautų nusidėvėjimo sąnaudoms dengti, pripažinimo pagrįstomis tiekimo veiklos sąnaudomis, atsižvelgdama į dujų įmonės ilgalaikės veiklos programos vykdymą per visą reguliavimo periodą. Lėšos, gautos nusidėvėjimo sąnaudoms dengti, Komisijos nepripažintos pagrįstomis tiekimo veiklos sąnaudomis, įvertinamos, nustatant naujo kainų reguliavimo periodo kainų viršutines ribas.</w:t>
      </w:r>
    </w:p>
    <w:p w14:paraId="0DA54893" w14:textId="77777777" w:rsidR="00CA353F" w:rsidRDefault="00B57BD2">
      <w:pPr>
        <w:suppressAutoHyphens/>
        <w:ind w:firstLine="567"/>
        <w:jc w:val="both"/>
        <w:textAlignment w:val="center"/>
      </w:pPr>
      <w:r w:rsidR="002C3F58">
        <w:t>41.5</w:t>
      </w:r>
      <w:r w:rsidR="002C3F58">
        <w:t>. Nekilnojamojo turto, žemės nuomos, aplinkos teršimo ir kitų mokesčių sąnaudos skaičiuojamos, vadovaujantis teisės aktų nustatyta tvarka.</w:t>
      </w:r>
    </w:p>
    <w:p w14:paraId="0DA54894" w14:textId="77777777" w:rsidR="00CA353F" w:rsidRDefault="00B57BD2">
      <w:pPr>
        <w:ind w:firstLine="567"/>
        <w:jc w:val="both"/>
        <w:rPr>
          <w:b/>
        </w:rPr>
      </w:pPr>
      <w:r w:rsidR="002C3F58">
        <w:t>41.6</w:t>
      </w:r>
      <w:r w:rsidR="002C3F58">
        <w:t>. Palūkanų sąnaudos skaičiuojamos, įvertinant esamus ir planuojamus dujų įmonės atitinkamos veiklos finansinius įsipareigojimus, vykdant įmonės ilgalaikę reguliuojamos veiklos programą, įskaitant ir įsipareigojimus kitoms veikloms. Esamoms paskoloms taikomos palūkanų normos pagal sudarytas paskolų sutartis. Įsipareigojimų kitoms veikloms bei planuojamoms paskoloms taikoma prognozuojama palūkanų norma. Prognozuojama palūkanų norma negali būti didesnė už ataskaitinio laikotarpio paskutinio mėnesio, prieš pateikiant Komisijai duomenis, Lietuvos banko paskelbtą nefinansinėms korporacijoms ir namų ūkiams suteiktų naujų paskolų, kurių trukmė virš vienerių metų, palūkanų normą.</w:t>
      </w:r>
    </w:p>
    <w:p w14:paraId="0DA54895" w14:textId="77777777" w:rsidR="00CA353F" w:rsidRDefault="00B57BD2">
      <w:pPr>
        <w:suppressAutoHyphens/>
        <w:ind w:firstLine="567"/>
        <w:jc w:val="both"/>
        <w:textAlignment w:val="center"/>
      </w:pPr>
      <w:r w:rsidR="002C3F58">
        <w:t>42</w:t>
      </w:r>
      <w:r w:rsidR="002C3F58">
        <w:t>. Ekonomiškai pagrįstomis sąnaudomis nepripažįstamos sąnaudos, susijusios su nenaudojamu, esančiu atsargose, užkonservuotu, su reguliuojama veikla nesusijusiu turtu bei dujų įmonių nepagrįstų investicijų sąnaudos.</w:t>
      </w:r>
    </w:p>
    <w:p w14:paraId="0DA54896" w14:textId="77777777" w:rsidR="00CA353F" w:rsidRDefault="00B57BD2">
      <w:pPr>
        <w:suppressAutoHyphens/>
        <w:ind w:firstLine="567"/>
        <w:jc w:val="both"/>
        <w:textAlignment w:val="center"/>
      </w:pPr>
      <w:r w:rsidR="002C3F58">
        <w:t>43</w:t>
      </w:r>
      <w:r w:rsidR="002C3F58">
        <w:t>. Kitos paslaugos ir pardavimai – tai su pagrindine (dujų tiekimo) veikla nesusijusios papildomos mokamos paslaugos ir parduodamas įmonei nereikalingas turtas. Jų sąnaudos neįskaičiuojamos į įmonės pagrindinę veiklą.</w:t>
      </w:r>
    </w:p>
    <w:p w14:paraId="0DA54897" w14:textId="77777777" w:rsidR="00CA353F" w:rsidRDefault="00B57BD2">
      <w:pPr>
        <w:suppressAutoHyphens/>
        <w:ind w:firstLine="567"/>
        <w:jc w:val="both"/>
        <w:textAlignment w:val="center"/>
      </w:pPr>
      <w:r w:rsidR="002C3F58">
        <w:t>44</w:t>
      </w:r>
      <w:r w:rsidR="002C3F58">
        <w:t>. Dujų įmonės sąnaudos skaičiuojamos pagal Metodikos prieduose pateiktą detalią dujų įmonės sąnaudų struktūrą. Dujų įmonės duomenis pateikia už praėjusio kainų reguliavimo periodo dvejus paskutinius metus ir planuojamų penkerių metų laikotarpį. Planuojamus sąnaudų pokyčius dujų įmonė turi argumentuoti. Jei dujų įmonės nepateikia sąnaudų pasikeitimų motyvų arba jos nėra tinkamai pagrįstos, šios sąnaudos nėra pripažįstamos pagrįstomis.</w:t>
      </w:r>
    </w:p>
    <w:p w14:paraId="0DA54898" w14:textId="77777777" w:rsidR="00CA353F" w:rsidRDefault="00B57BD2">
      <w:pPr>
        <w:suppressAutoHyphens/>
        <w:ind w:firstLine="567"/>
        <w:jc w:val="both"/>
        <w:textAlignment w:val="center"/>
      </w:pPr>
      <w:r w:rsidR="002C3F58">
        <w:t>45</w:t>
      </w:r>
      <w:r w:rsidR="002C3F58">
        <w:t>. Koreguojant dujų tiekimo kainų viršutines ribas, dujų įmonės duomenis pateikia už paskutinius metus, einančius prieš tuos metus, kuriems yra koreguojama kainų viršutinė riba, ir tuos metus, kuriems yra koreguojama kainų viršutinė riba.</w:t>
      </w:r>
    </w:p>
    <w:p w14:paraId="0DA54899" w14:textId="77777777" w:rsidR="00CA353F" w:rsidRDefault="00B57BD2">
      <w:pPr>
        <w:suppressAutoHyphens/>
        <w:ind w:firstLine="567"/>
        <w:jc w:val="both"/>
        <w:textAlignment w:val="center"/>
      </w:pPr>
      <w:r w:rsidR="002C3F58">
        <w:t>46</w:t>
      </w:r>
      <w:r w:rsidR="002C3F58">
        <w:t>.</w:t>
      </w:r>
      <w:r w:rsidR="002C3F58">
        <w:rPr>
          <w:b/>
        </w:rPr>
        <w:t xml:space="preserve"> </w:t>
      </w:r>
      <w:r w:rsidR="002C3F58">
        <w:t xml:space="preserve">Komisija, nustatydama kainų viršutines ribas naujam reguliavimo periodui, gali įvertinti atitinkamų sąnaudų rūšių pokyčius dėl nuo dujų įmonės nepriklausančių veiksnių, </w:t>
      </w:r>
      <w:r w:rsidR="002C3F58">
        <w:lastRenderedPageBreak/>
        <w:t>esant nukrypimams nuo Komisijos prognozuotų rodiklių (ekonomikos ir darbo rinkos tendencijų, dujų pirkimo kainos ir kt.).</w:t>
      </w:r>
    </w:p>
    <w:p w14:paraId="0DA5489A" w14:textId="77777777" w:rsidR="00CA353F" w:rsidRDefault="00B57BD2">
      <w:pPr>
        <w:ind w:firstLine="567"/>
        <w:jc w:val="both"/>
        <w:rPr>
          <w:b/>
        </w:rPr>
      </w:pPr>
    </w:p>
    <w:p w14:paraId="0DA5489B" w14:textId="77777777" w:rsidR="00CA353F" w:rsidRDefault="00B57BD2">
      <w:pPr>
        <w:keepLines/>
        <w:suppressAutoHyphens/>
        <w:jc w:val="center"/>
        <w:textAlignment w:val="center"/>
        <w:rPr>
          <w:b/>
          <w:bCs/>
          <w:caps/>
        </w:rPr>
      </w:pPr>
      <w:r w:rsidR="002C3F58">
        <w:rPr>
          <w:b/>
          <w:bCs/>
          <w:caps/>
        </w:rPr>
        <w:t>V</w:t>
      </w:r>
      <w:r w:rsidR="002C3F58">
        <w:rPr>
          <w:b/>
          <w:bCs/>
          <w:caps/>
        </w:rPr>
        <w:t xml:space="preserve">. </w:t>
      </w:r>
      <w:r w:rsidR="002C3F58">
        <w:rPr>
          <w:b/>
          <w:bCs/>
          <w:caps/>
        </w:rPr>
        <w:t>Dujų TIEKIMO kainOS VIRŠUTINĖS RIBOS skaičiavimas</w:t>
      </w:r>
    </w:p>
    <w:p w14:paraId="0DA5489C" w14:textId="77777777" w:rsidR="00CA353F" w:rsidRDefault="00CA353F">
      <w:pPr>
        <w:suppressAutoHyphens/>
        <w:ind w:firstLine="567"/>
        <w:jc w:val="both"/>
        <w:textAlignment w:val="center"/>
      </w:pPr>
    </w:p>
    <w:p w14:paraId="0DA5489D" w14:textId="77777777" w:rsidR="00CA353F" w:rsidRDefault="00B57BD2">
      <w:pPr>
        <w:suppressAutoHyphens/>
        <w:ind w:firstLine="567"/>
        <w:jc w:val="both"/>
        <w:textAlignment w:val="center"/>
      </w:pPr>
      <w:r w:rsidR="002C3F58">
        <w:t>47</w:t>
      </w:r>
      <w:r w:rsidR="002C3F58">
        <w:t>. Dujų tiekimo kainos viršutinė riba (T</w:t>
      </w:r>
      <w:r w:rsidR="002C3F58">
        <w:rPr>
          <w:vertAlign w:val="subscript"/>
        </w:rPr>
        <w:t xml:space="preserve"> rib</w:t>
      </w:r>
      <w:r w:rsidR="002C3F58">
        <w:t xml:space="preserve">) skaičiuojama pagal formulę: </w:t>
      </w:r>
    </w:p>
    <w:p w14:paraId="0DA5489E" w14:textId="77777777" w:rsidR="00CA353F" w:rsidRDefault="00CA353F">
      <w:pPr>
        <w:suppressAutoHyphens/>
        <w:ind w:firstLine="567"/>
        <w:jc w:val="both"/>
        <w:textAlignment w:val="center"/>
      </w:pPr>
    </w:p>
    <w:p w14:paraId="0DA548A0" w14:textId="31BEF323" w:rsidR="00CA353F" w:rsidRDefault="00B57BD2" w:rsidP="00B57BD2">
      <w:pPr>
        <w:ind w:firstLine="567"/>
        <w:jc w:val="both"/>
      </w:pPr>
      <w:r>
        <w:rPr>
          <w:noProof/>
          <w:position w:val="-30"/>
          <w:lang w:eastAsia="lt-LT"/>
        </w:rPr>
        <w:drawing>
          <wp:inline distT="0" distB="0" distL="0" distR="0" wp14:anchorId="269B11FE" wp14:editId="4F1AAE17">
            <wp:extent cx="3895090" cy="4762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5090" cy="476250"/>
                    </a:xfrm>
                    <a:prstGeom prst="rect">
                      <a:avLst/>
                    </a:prstGeom>
                    <a:noFill/>
                  </pic:spPr>
                </pic:pic>
              </a:graphicData>
            </a:graphic>
          </wp:inline>
        </w:drawing>
      </w:r>
      <w:r w:rsidR="002C3F58">
        <w:t>;</w:t>
      </w:r>
      <w:r w:rsidR="002C3F58">
        <w:rPr>
          <w:bCs/>
        </w:rPr>
        <w:t xml:space="preserve"> (L</w:t>
      </w:r>
      <w:r w:rsidR="002C3F58">
        <w:t>t/tūkst. m³)     (1)</w:t>
      </w:r>
    </w:p>
    <w:p w14:paraId="0DA548A1" w14:textId="77777777" w:rsidR="00CA353F" w:rsidRDefault="002C3F58">
      <w:pPr>
        <w:suppressAutoHyphens/>
        <w:ind w:firstLine="567"/>
        <w:jc w:val="both"/>
        <w:textAlignment w:val="center"/>
      </w:pPr>
      <w:r>
        <w:t>čia</w:t>
      </w:r>
    </w:p>
    <w:p w14:paraId="0DA548A2" w14:textId="77777777" w:rsidR="00CA353F" w:rsidRDefault="002C3F58">
      <w:pPr>
        <w:suppressAutoHyphens/>
        <w:ind w:firstLine="567"/>
        <w:jc w:val="both"/>
        <w:textAlignment w:val="center"/>
      </w:pPr>
      <w:r>
        <w:t>S</w:t>
      </w:r>
      <w:r>
        <w:rPr>
          <w:vertAlign w:val="subscript"/>
        </w:rPr>
        <w:t>baz</w:t>
      </w:r>
      <w:r>
        <w:t xml:space="preserve"> – nustatytos metinės dujų tiekimo bazinės sąnaudos, tūkst. Lt; </w:t>
      </w:r>
    </w:p>
    <w:p w14:paraId="0DA548A3" w14:textId="77777777" w:rsidR="00CA353F" w:rsidRDefault="002C3F58">
      <w:pPr>
        <w:suppressAutoHyphens/>
        <w:ind w:firstLine="567"/>
        <w:jc w:val="both"/>
        <w:textAlignment w:val="center"/>
      </w:pPr>
      <w:r>
        <w:t>S</w:t>
      </w:r>
      <w:r>
        <w:rPr>
          <w:vertAlign w:val="subscript"/>
        </w:rPr>
        <w:t>t saug</w:t>
      </w:r>
      <w:r>
        <w:t xml:space="preserve"> – dujų tiekimo saugumo buitiniams vartotojams užtikrinimo metinės bazinės sąnaudos, skaičiuojamos pagal (2) formulę, tūkst. Lt;</w:t>
      </w:r>
    </w:p>
    <w:p w14:paraId="0DA548A4" w14:textId="77777777" w:rsidR="00CA353F" w:rsidRDefault="002C3F58">
      <w:pPr>
        <w:suppressAutoHyphens/>
        <w:ind w:firstLine="567"/>
        <w:jc w:val="both"/>
        <w:textAlignment w:val="center"/>
      </w:pPr>
      <w:r>
        <w:t>S</w:t>
      </w:r>
      <w:r>
        <w:rPr>
          <w:vertAlign w:val="subscript"/>
        </w:rPr>
        <w:t>pask t</w:t>
      </w:r>
      <w:r>
        <w:t xml:space="preserve"> – paskirtojo tiekimo metinės bazinės sąnaudos, jeigu Komisija įpareigojo dujas tiekiančią įmonę vykdyti paskirtąjį tiekimą, tūkst. Lt;</w:t>
      </w:r>
    </w:p>
    <w:p w14:paraId="0DA548A5" w14:textId="77777777" w:rsidR="00CA353F" w:rsidRDefault="002C3F58">
      <w:pPr>
        <w:suppressAutoHyphens/>
        <w:ind w:firstLine="567"/>
        <w:jc w:val="both"/>
        <w:textAlignment w:val="center"/>
        <w:rPr>
          <w:strike/>
        </w:rPr>
      </w:pPr>
      <w:r>
        <w:t>Q</w:t>
      </w:r>
      <w:r>
        <w:rPr>
          <w:vertAlign w:val="subscript"/>
        </w:rPr>
        <w:t>baz</w:t>
      </w:r>
      <w:r>
        <w:t xml:space="preserve"> – nustatytas metinis bazinis dujų kiekis, tūkst. m</w:t>
      </w:r>
      <w:r>
        <w:rPr>
          <w:vertAlign w:val="superscript"/>
        </w:rPr>
        <w:t>3</w:t>
      </w:r>
      <w:r>
        <w:t>;</w:t>
      </w:r>
    </w:p>
    <w:p w14:paraId="0DA548A6" w14:textId="77777777" w:rsidR="00CA353F" w:rsidRDefault="002C3F58">
      <w:pPr>
        <w:suppressAutoHyphens/>
        <w:ind w:firstLine="567"/>
        <w:jc w:val="both"/>
        <w:textAlignment w:val="center"/>
      </w:pPr>
      <w:r>
        <w:t>T</w:t>
      </w:r>
      <w:r>
        <w:rPr>
          <w:vertAlign w:val="subscript"/>
        </w:rPr>
        <w:t>GD</w:t>
      </w:r>
      <w:r>
        <w:t xml:space="preserve"> (T</w:t>
      </w:r>
      <w:r>
        <w:rPr>
          <w:vertAlign w:val="subscript"/>
        </w:rPr>
        <w:t>GD(i+1)</w:t>
      </w:r>
      <w:r>
        <w:t xml:space="preserve">) </w:t>
      </w:r>
      <w:r>
        <w:rPr>
          <w:b/>
        </w:rPr>
        <w:t xml:space="preserve">– </w:t>
      </w:r>
      <w:r>
        <w:t>metinė dujų pirkimo kaina, skaičiuojama pagal (11) formulę, Lt/tūkst. m</w:t>
      </w:r>
      <w:r>
        <w:rPr>
          <w:vertAlign w:val="superscript"/>
        </w:rPr>
        <w:t>3</w:t>
      </w:r>
      <w:r>
        <w:t>;</w:t>
      </w:r>
    </w:p>
    <w:p w14:paraId="0DA548A7" w14:textId="77777777" w:rsidR="00CA353F" w:rsidRDefault="002C3F58">
      <w:pPr>
        <w:suppressAutoHyphens/>
        <w:ind w:firstLine="567"/>
        <w:jc w:val="both"/>
        <w:textAlignment w:val="center"/>
      </w:pPr>
      <w:r>
        <w:t>0,031 ir 0,03 – dujų kainų svyravimus įvertinantys koeficientai;</w:t>
      </w:r>
    </w:p>
    <w:p w14:paraId="0DA548A8" w14:textId="77777777" w:rsidR="00CA353F" w:rsidRDefault="002C3F58">
      <w:pPr>
        <w:suppressAutoHyphens/>
        <w:ind w:firstLine="567"/>
        <w:jc w:val="both"/>
        <w:textAlignment w:val="center"/>
      </w:pPr>
      <w:r>
        <w:t>1100 – bazinė dujų pirkimo kaina, Lt/tūkst. m</w:t>
      </w:r>
      <w:r>
        <w:rPr>
          <w:vertAlign w:val="superscript"/>
        </w:rPr>
        <w:t>3</w:t>
      </w:r>
      <w:r>
        <w:t>.</w:t>
      </w:r>
    </w:p>
    <w:p w14:paraId="0DA548A9" w14:textId="77777777" w:rsidR="00CA353F" w:rsidRDefault="00B57BD2">
      <w:pPr>
        <w:suppressAutoHyphens/>
        <w:ind w:firstLine="567"/>
        <w:jc w:val="both"/>
        <w:textAlignment w:val="center"/>
      </w:pPr>
      <w:r w:rsidR="002C3F58">
        <w:t>48</w:t>
      </w:r>
      <w:r w:rsidR="002C3F58">
        <w:t>.</w:t>
      </w:r>
      <w:r w:rsidR="002C3F58">
        <w:rPr>
          <w:b/>
        </w:rPr>
        <w:t xml:space="preserve"> </w:t>
      </w:r>
      <w:r w:rsidR="002C3F58">
        <w:t>Dujų tiekimo saugumo buitiniams vartotojams užtikrinimo metinės bazinės sąnaudos skaičiuojamos pagal formulę:</w:t>
      </w:r>
    </w:p>
    <w:p w14:paraId="0DA548AA" w14:textId="77777777" w:rsidR="00CA353F" w:rsidRDefault="00CA353F">
      <w:pPr>
        <w:suppressAutoHyphens/>
        <w:ind w:firstLine="567"/>
        <w:jc w:val="both"/>
        <w:textAlignment w:val="center"/>
      </w:pPr>
    </w:p>
    <w:p w14:paraId="0DA548AC" w14:textId="03D58794" w:rsidR="00CA353F" w:rsidRDefault="00B57BD2">
      <w:pPr>
        <w:ind w:firstLine="567"/>
        <w:jc w:val="both"/>
      </w:pPr>
      <w:r>
        <w:rPr>
          <w:noProof/>
          <w:position w:val="-14"/>
          <w:lang w:eastAsia="lt-LT"/>
        </w:rPr>
        <w:drawing>
          <wp:inline distT="0" distB="0" distL="0" distR="0" wp14:anchorId="5C891574" wp14:editId="6C9C7204">
            <wp:extent cx="2771140" cy="247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1140" cy="247650"/>
                    </a:xfrm>
                    <a:prstGeom prst="rect">
                      <a:avLst/>
                    </a:prstGeom>
                    <a:noFill/>
                  </pic:spPr>
                </pic:pic>
              </a:graphicData>
            </a:graphic>
          </wp:inline>
        </w:drawing>
      </w:r>
      <w:r w:rsidR="002C3F58">
        <w:t>; (Lt)    (2)</w:t>
      </w:r>
    </w:p>
    <w:p w14:paraId="0DA548AD" w14:textId="77777777" w:rsidR="00CA353F" w:rsidRDefault="00CA353F">
      <w:pPr>
        <w:suppressAutoHyphens/>
        <w:ind w:firstLine="567"/>
        <w:jc w:val="both"/>
        <w:textAlignment w:val="center"/>
      </w:pPr>
    </w:p>
    <w:p w14:paraId="0DA548AE" w14:textId="77777777" w:rsidR="00CA353F" w:rsidRDefault="002C3F58">
      <w:pPr>
        <w:suppressAutoHyphens/>
        <w:ind w:firstLine="567"/>
        <w:jc w:val="both"/>
        <w:textAlignment w:val="center"/>
      </w:pPr>
      <w:r>
        <w:t>čia</w:t>
      </w:r>
    </w:p>
    <w:p w14:paraId="0DA548AF" w14:textId="77777777" w:rsidR="00CA353F" w:rsidRDefault="002C3F58">
      <w:pPr>
        <w:suppressAutoHyphens/>
        <w:ind w:firstLine="567"/>
        <w:jc w:val="both"/>
        <w:textAlignment w:val="center"/>
      </w:pPr>
      <w:r>
        <w:t>T</w:t>
      </w:r>
      <w:r>
        <w:rPr>
          <w:vertAlign w:val="subscript"/>
        </w:rPr>
        <w:t>GD (buit)</w:t>
      </w:r>
      <w:r>
        <w:t> – metinė dujų pirkimo kaina buitiniams vartotojams, skaičiuojama pagal (11) formulę, Lt/tūkst. m</w:t>
      </w:r>
      <w:r>
        <w:rPr>
          <w:vertAlign w:val="superscript"/>
        </w:rPr>
        <w:t>3</w:t>
      </w:r>
      <w:r>
        <w:t>;</w:t>
      </w:r>
    </w:p>
    <w:p w14:paraId="0DA548B0" w14:textId="77777777" w:rsidR="00CA353F" w:rsidRDefault="002C3F58">
      <w:pPr>
        <w:suppressAutoHyphens/>
        <w:ind w:firstLine="567"/>
        <w:jc w:val="both"/>
        <w:textAlignment w:val="center"/>
      </w:pPr>
      <w:r>
        <w:t>Q</w:t>
      </w:r>
      <w:r>
        <w:rPr>
          <w:vertAlign w:val="subscript"/>
        </w:rPr>
        <w:t>buit</w:t>
      </w:r>
      <w:r>
        <w:t> – tiekimo saugumui buitiniams vartotojams užtikrinti reikalingas laikyti dujų kiekis, tūkst. m</w:t>
      </w:r>
      <w:r>
        <w:rPr>
          <w:vertAlign w:val="superscript"/>
        </w:rPr>
        <w:t>3</w:t>
      </w:r>
      <w:r>
        <w:t>;</w:t>
      </w:r>
    </w:p>
    <w:p w14:paraId="0DA548B1" w14:textId="77777777" w:rsidR="00CA353F" w:rsidRDefault="002C3F58">
      <w:pPr>
        <w:suppressAutoHyphens/>
        <w:ind w:firstLine="567"/>
        <w:jc w:val="both"/>
        <w:textAlignment w:val="center"/>
      </w:pPr>
      <w:r>
        <w:t>R</w:t>
      </w:r>
      <w:r>
        <w:rPr>
          <w:vertAlign w:val="subscript"/>
        </w:rPr>
        <w:t>saug</w:t>
      </w:r>
      <w:r>
        <w:t> – palūkanų norma tiekimo saugumui buitiniams vartotojams užtikrinti, skaičiuojama pagal 41.6 punkto nuostatas, %;</w:t>
      </w:r>
    </w:p>
    <w:p w14:paraId="0DA548B2" w14:textId="77777777" w:rsidR="00CA353F" w:rsidRDefault="002C3F58">
      <w:pPr>
        <w:suppressAutoHyphens/>
        <w:ind w:firstLine="567"/>
        <w:jc w:val="both"/>
        <w:textAlignment w:val="center"/>
      </w:pPr>
      <w:r>
        <w:t>S</w:t>
      </w:r>
      <w:r>
        <w:rPr>
          <w:vertAlign w:val="subscript"/>
        </w:rPr>
        <w:t>saug</w:t>
      </w:r>
      <w:r>
        <w:t> – dujų saugojimo išlaidos, Lt. Dujų saugojimo išlaidas sudaro dujų padėjimas, saugojimas ir išėmimas iš saugyklos. Dujų saugojimo išlaidos skaičiuojamos pagal galiojančias sutartis, sudarytas tarp dujas tiekiančios ir dujas saugojančios įmonės.</w:t>
      </w:r>
    </w:p>
    <w:p w14:paraId="0DA548B3" w14:textId="77777777" w:rsidR="00CA353F" w:rsidRDefault="002C3F58">
      <w:pPr>
        <w:suppressAutoHyphens/>
        <w:ind w:firstLine="567"/>
        <w:jc w:val="both"/>
        <w:textAlignment w:val="center"/>
      </w:pPr>
      <w:r>
        <w:t>S</w:t>
      </w:r>
      <w:r>
        <w:rPr>
          <w:vertAlign w:val="subscript"/>
        </w:rPr>
        <w:t>tr saug</w:t>
      </w:r>
      <w:r>
        <w:t> – dujų transportavimo į ir iš saugyklos išlaidos, Lt. Dujų transportavimo išlaidos skaičiuojamos pagal galiojančias sutartis, sudarytas tarp dujas tiekiančios ir dujų transportavimo paslaugas teikiančios dujų įmonės.</w:t>
      </w:r>
    </w:p>
    <w:p w14:paraId="0DA548B4" w14:textId="77777777" w:rsidR="00CA353F" w:rsidRDefault="00B57BD2">
      <w:pPr>
        <w:suppressAutoHyphens/>
        <w:ind w:firstLine="567"/>
        <w:jc w:val="both"/>
        <w:textAlignment w:val="center"/>
      </w:pPr>
      <w:r w:rsidR="002C3F58">
        <w:t>49</w:t>
      </w:r>
      <w:r w:rsidR="002C3F58">
        <w:t>. Dujų tiekimo kainos viršutinė riba (T</w:t>
      </w:r>
      <w:r w:rsidR="002C3F58">
        <w:rPr>
          <w:vertAlign w:val="subscript"/>
        </w:rPr>
        <w:t xml:space="preserve"> rib</w:t>
      </w:r>
      <w:r w:rsidR="002C3F58">
        <w:t>) antraisiais–penktaisiais reguliavimo metais koreguojama pagal formulę:</w:t>
      </w:r>
    </w:p>
    <w:p w14:paraId="0DA548B5" w14:textId="77777777" w:rsidR="00CA353F" w:rsidRDefault="00CA353F">
      <w:pPr>
        <w:ind w:firstLine="567"/>
        <w:jc w:val="both"/>
      </w:pPr>
    </w:p>
    <w:p w14:paraId="0DA548B9" w14:textId="7EF6CBE2" w:rsidR="00CA353F" w:rsidRDefault="00B57BD2" w:rsidP="00B57BD2">
      <w:pPr>
        <w:ind w:firstLine="567"/>
        <w:jc w:val="both"/>
      </w:pPr>
      <w:r>
        <w:rPr>
          <w:b/>
          <w:noProof/>
          <w:position w:val="-30"/>
          <w:lang w:eastAsia="lt-LT"/>
        </w:rPr>
        <w:drawing>
          <wp:inline distT="0" distB="0" distL="0" distR="0" wp14:anchorId="490A6494" wp14:editId="33F6CE32">
            <wp:extent cx="5171440" cy="48577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1440" cy="485775"/>
                    </a:xfrm>
                    <a:prstGeom prst="rect">
                      <a:avLst/>
                    </a:prstGeom>
                    <a:noFill/>
                  </pic:spPr>
                </pic:pic>
              </a:graphicData>
            </a:graphic>
          </wp:inline>
        </w:drawing>
      </w:r>
      <w:r w:rsidR="002C3F58">
        <w:rPr>
          <w:position w:val="-30"/>
        </w:rPr>
        <w:t>; (Lt/tūkst.m</w:t>
      </w:r>
      <w:r w:rsidR="002C3F58">
        <w:rPr>
          <w:position w:val="-30"/>
          <w:vertAlign w:val="superscript"/>
        </w:rPr>
        <w:t>3</w:t>
      </w:r>
      <w:r w:rsidR="002C3F58">
        <w:rPr>
          <w:position w:val="-30"/>
        </w:rPr>
        <w:t xml:space="preserve">) </w:t>
      </w:r>
      <w:r w:rsidR="002C3F58">
        <w:rPr>
          <w:color w:val="000000"/>
        </w:rPr>
        <w:t>(3)</w:t>
      </w:r>
    </w:p>
    <w:p w14:paraId="0DA548BA" w14:textId="77777777" w:rsidR="00CA353F" w:rsidRDefault="00CA353F">
      <w:pPr>
        <w:suppressAutoHyphens/>
        <w:ind w:firstLine="567"/>
        <w:jc w:val="both"/>
        <w:textAlignment w:val="center"/>
      </w:pPr>
    </w:p>
    <w:p w14:paraId="0DA548BB" w14:textId="77777777" w:rsidR="00CA353F" w:rsidRDefault="002C3F58">
      <w:pPr>
        <w:suppressAutoHyphens/>
        <w:ind w:firstLine="567"/>
        <w:jc w:val="both"/>
        <w:textAlignment w:val="center"/>
      </w:pPr>
      <w:r>
        <w:t>čia</w:t>
      </w:r>
    </w:p>
    <w:p w14:paraId="0DA548BC" w14:textId="77777777" w:rsidR="00CA353F" w:rsidRDefault="002C3F58">
      <w:pPr>
        <w:suppressAutoHyphens/>
        <w:ind w:firstLine="567"/>
        <w:jc w:val="both"/>
        <w:textAlignment w:val="center"/>
      </w:pPr>
      <w:r>
        <w:t>T</w:t>
      </w:r>
      <w:r>
        <w:rPr>
          <w:vertAlign w:val="subscript"/>
        </w:rPr>
        <w:t xml:space="preserve"> rib (i+1)</w:t>
      </w:r>
      <w:r>
        <w:t>  – dujų tiekimo kainos viršutinė riba (i+1)-aisiais reguliavimo metais, Lt/tūkst. m</w:t>
      </w:r>
      <w:r>
        <w:rPr>
          <w:vertAlign w:val="superscript"/>
        </w:rPr>
        <w:t>3</w:t>
      </w:r>
      <w:r>
        <w:t xml:space="preserve">; </w:t>
      </w:r>
    </w:p>
    <w:p w14:paraId="0DA548BD" w14:textId="77777777" w:rsidR="00CA353F" w:rsidRDefault="002C3F58">
      <w:pPr>
        <w:suppressAutoHyphens/>
        <w:ind w:firstLine="567"/>
        <w:jc w:val="both"/>
        <w:textAlignment w:val="center"/>
      </w:pPr>
      <w:r>
        <w:lastRenderedPageBreak/>
        <w:t>K</w:t>
      </w:r>
      <w:r>
        <w:rPr>
          <w:vertAlign w:val="subscript"/>
        </w:rPr>
        <w:t xml:space="preserve">k </w:t>
      </w:r>
      <w:r>
        <w:t> – tiekimo veiklos sąnaudų koregavimo koeficientas, kuris skaičiuojamas pagal formulę: (pirmiesiems metams lygus 1)</w:t>
      </w:r>
    </w:p>
    <w:p w14:paraId="0DA548BF" w14:textId="23A267ED" w:rsidR="00CA353F" w:rsidRDefault="00B57BD2">
      <w:pPr>
        <w:suppressAutoHyphens/>
        <w:ind w:firstLine="567"/>
        <w:jc w:val="both"/>
        <w:textAlignment w:val="center"/>
      </w:pPr>
      <w:r>
        <w:rPr>
          <w:b/>
          <w:noProof/>
          <w:lang w:eastAsia="lt-LT"/>
        </w:rPr>
        <w:drawing>
          <wp:inline distT="0" distB="0" distL="0" distR="0" wp14:anchorId="2D0F789C" wp14:editId="52D325F8">
            <wp:extent cx="5209540" cy="409575"/>
            <wp:effectExtent l="0" t="0" r="0"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9540" cy="409575"/>
                    </a:xfrm>
                    <a:prstGeom prst="rect">
                      <a:avLst/>
                    </a:prstGeom>
                    <a:noFill/>
                  </pic:spPr>
                </pic:pic>
              </a:graphicData>
            </a:graphic>
          </wp:inline>
        </w:drawing>
      </w:r>
      <w:r w:rsidR="002C3F58">
        <w:rPr>
          <w:color w:val="000000"/>
          <w:sz w:val="20"/>
          <w:lang w:val="en-GB"/>
        </w:rPr>
        <w:t>;</w:t>
      </w:r>
    </w:p>
    <w:p w14:paraId="0DA548C0" w14:textId="77777777" w:rsidR="00CA353F" w:rsidRDefault="002C3F58">
      <w:pPr>
        <w:suppressAutoHyphens/>
        <w:ind w:firstLine="747"/>
        <w:jc w:val="both"/>
        <w:textAlignment w:val="center"/>
      </w:pPr>
      <w:r>
        <w:rPr>
          <w:color w:val="000000"/>
          <w:lang w:val="en-GB"/>
        </w:rPr>
        <w:t>(4)</w:t>
      </w:r>
    </w:p>
    <w:p w14:paraId="0DA548C1" w14:textId="77777777" w:rsidR="00CA353F" w:rsidRDefault="002C3F58">
      <w:pPr>
        <w:suppressAutoHyphens/>
        <w:ind w:firstLine="567"/>
        <w:jc w:val="both"/>
        <w:textAlignment w:val="center"/>
      </w:pPr>
      <w:r>
        <w:t>čia</w:t>
      </w:r>
    </w:p>
    <w:p w14:paraId="0DA548C3" w14:textId="0A09451D" w:rsidR="00CA353F" w:rsidRDefault="00B57BD2">
      <w:pPr>
        <w:suppressAutoHyphens/>
        <w:ind w:firstLine="567"/>
        <w:jc w:val="both"/>
        <w:textAlignment w:val="center"/>
      </w:pPr>
      <w:r>
        <w:rPr>
          <w:b/>
          <w:noProof/>
          <w:lang w:eastAsia="lt-LT"/>
        </w:rPr>
        <w:drawing>
          <wp:inline distT="0" distB="0" distL="0" distR="0" wp14:anchorId="23BCF106" wp14:editId="1E173CD2">
            <wp:extent cx="2818765" cy="495300"/>
            <wp:effectExtent l="0" t="0" r="63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8765" cy="495300"/>
                    </a:xfrm>
                    <a:prstGeom prst="rect">
                      <a:avLst/>
                    </a:prstGeom>
                    <a:noFill/>
                  </pic:spPr>
                </pic:pic>
              </a:graphicData>
            </a:graphic>
          </wp:inline>
        </w:drawing>
      </w:r>
    </w:p>
    <w:p w14:paraId="0DA548C4" w14:textId="77777777" w:rsidR="00CA353F" w:rsidRDefault="002C3F58">
      <w:pPr>
        <w:suppressAutoHyphens/>
        <w:ind w:firstLine="567"/>
        <w:jc w:val="both"/>
        <w:textAlignment w:val="center"/>
      </w:pPr>
      <w:r>
        <w:t>dalis, įvertinanti ankstesniais (i-aisiais) reguliavimo metais Komisijos nustatytą tiekimo veiklos sąnaudų koregavimo koeficientą),</w:t>
      </w:r>
    </w:p>
    <w:p w14:paraId="0DA548C5" w14:textId="77777777" w:rsidR="00CA353F" w:rsidRDefault="002C3F58">
      <w:pPr>
        <w:suppressAutoHyphens/>
        <w:ind w:firstLine="567"/>
        <w:jc w:val="both"/>
        <w:textAlignment w:val="center"/>
      </w:pPr>
      <w:r>
        <w:t>I</w:t>
      </w:r>
      <w:r>
        <w:rPr>
          <w:vertAlign w:val="subscript"/>
        </w:rPr>
        <w:t>q</w:t>
      </w:r>
      <w:r>
        <w:t> – dujų kiekio pokyčio koregavimo koeficientas, skaičiuojamas pagal formulę:</w:t>
      </w:r>
    </w:p>
    <w:p w14:paraId="0DA548C6" w14:textId="77777777" w:rsidR="00CA353F" w:rsidRDefault="00CA353F">
      <w:pPr>
        <w:tabs>
          <w:tab w:val="left" w:pos="10080"/>
        </w:tabs>
        <w:suppressAutoHyphens/>
        <w:ind w:firstLine="567"/>
        <w:jc w:val="both"/>
        <w:textAlignment w:val="center"/>
      </w:pPr>
    </w:p>
    <w:p w14:paraId="0DA548C8" w14:textId="2BB35453" w:rsidR="00CA353F" w:rsidRDefault="00B57BD2">
      <w:pPr>
        <w:suppressAutoHyphens/>
        <w:ind w:firstLine="567"/>
        <w:jc w:val="both"/>
        <w:textAlignment w:val="center"/>
        <w:rPr>
          <w:b/>
        </w:rPr>
      </w:pPr>
      <w:r>
        <w:rPr>
          <w:b/>
          <w:noProof/>
          <w:position w:val="-30"/>
          <w:lang w:eastAsia="lt-LT"/>
        </w:rPr>
        <w:drawing>
          <wp:inline distT="0" distB="0" distL="0" distR="0" wp14:anchorId="19135696" wp14:editId="1C0014B1">
            <wp:extent cx="1781175" cy="409575"/>
            <wp:effectExtent l="0" t="0" r="0"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1175" cy="409575"/>
                    </a:xfrm>
                    <a:prstGeom prst="rect">
                      <a:avLst/>
                    </a:prstGeom>
                    <a:noFill/>
                  </pic:spPr>
                </pic:pic>
              </a:graphicData>
            </a:graphic>
          </wp:inline>
        </w:drawing>
      </w:r>
      <w:r w:rsidR="002C3F58">
        <w:rPr>
          <w:position w:val="-30"/>
        </w:rPr>
        <w:t xml:space="preserve"> </w:t>
      </w:r>
      <w:r w:rsidR="002C3F58">
        <w:rPr>
          <w:color w:val="000000"/>
          <w:lang w:val="en-GB"/>
        </w:rPr>
        <w:t>   (5)</w:t>
      </w:r>
    </w:p>
    <w:p w14:paraId="0DA548C9" w14:textId="77777777" w:rsidR="00CA353F" w:rsidRDefault="002C3F58">
      <w:pPr>
        <w:suppressAutoHyphens/>
        <w:ind w:firstLine="567"/>
        <w:jc w:val="both"/>
        <w:textAlignment w:val="center"/>
      </w:pPr>
      <w:r>
        <w:t>čia</w:t>
      </w:r>
    </w:p>
    <w:p w14:paraId="0DA548CA" w14:textId="77777777" w:rsidR="00CA353F" w:rsidRDefault="002C3F58">
      <w:pPr>
        <w:suppressAutoHyphens/>
        <w:ind w:firstLine="567"/>
        <w:jc w:val="both"/>
        <w:textAlignment w:val="center"/>
      </w:pPr>
      <w:r>
        <w:t>Q</w:t>
      </w:r>
      <w:r>
        <w:rPr>
          <w:vertAlign w:val="subscript"/>
        </w:rPr>
        <w:t>i</w:t>
      </w:r>
      <w:r>
        <w:t xml:space="preserve"> – parduotas dujų kiekis i-aisiais kainų reguliavimo metais, tūkst. m³. </w:t>
      </w:r>
    </w:p>
    <w:p w14:paraId="0DA548CB" w14:textId="77777777" w:rsidR="00CA353F" w:rsidRDefault="002C3F58">
      <w:pPr>
        <w:suppressAutoHyphens/>
        <w:ind w:firstLine="567"/>
        <w:jc w:val="both"/>
        <w:textAlignment w:val="center"/>
      </w:pPr>
      <w:r>
        <w:t>Kai I</w:t>
      </w:r>
      <w:r>
        <w:rPr>
          <w:vertAlign w:val="subscript"/>
        </w:rPr>
        <w:t xml:space="preserve">q (i+1) </w:t>
      </w:r>
      <w:r>
        <w:t xml:space="preserve">viršija 10 %, Komisija gali priimti sprendimą dėl kiekių nuokrypio dujų įmonės negautas (viršytas) pajamas įvertinti, koreguodama vėlesnių laikotarpių (iki 3 metų) tiekimo kainų viršutines ribas. Vertinant negautas (viršytas) pajamas, kartu įvertinama ir palūkanų suma, suskaičiuota nukeliamo pajamų nuokrypio dydžiui. Palūkanos skaičiuojamos, taikant palūkanų normą, kuri skaičiuojama pagal 41.6 punkto nuostatas. Jei faktinis praėjusių metų dujų kiekis skiriasi nuo koregavimo metu nustatyto tiekimo kiekio, Komisija turi teisę įvertinti šį skirtumą, koreguodama  kitų metų tiekimo kainos viršutinę ribą. </w:t>
      </w:r>
    </w:p>
    <w:p w14:paraId="0DA548CC" w14:textId="77777777" w:rsidR="00CA353F" w:rsidRDefault="002C3F58">
      <w:pPr>
        <w:suppressAutoHyphens/>
        <w:ind w:firstLine="567"/>
        <w:jc w:val="both"/>
        <w:textAlignment w:val="center"/>
      </w:pPr>
      <w:r>
        <w:t>I</w:t>
      </w:r>
      <w:r>
        <w:rPr>
          <w:vertAlign w:val="subscript"/>
        </w:rPr>
        <w:t>infl</w:t>
      </w:r>
      <w:r>
        <w:t> – infliacijos koregavimo koeficientas, skaičiuojamas pagal formulę:</w:t>
      </w:r>
    </w:p>
    <w:p w14:paraId="0DA548CD" w14:textId="77777777" w:rsidR="00CA353F" w:rsidRDefault="00CA353F">
      <w:pPr>
        <w:ind w:firstLine="567"/>
        <w:jc w:val="both"/>
      </w:pPr>
    </w:p>
    <w:p w14:paraId="0DA548CE" w14:textId="7FB52751" w:rsidR="00CA353F" w:rsidRDefault="00B57BD2">
      <w:pPr>
        <w:suppressAutoHyphens/>
        <w:ind w:firstLine="567"/>
        <w:jc w:val="both"/>
        <w:textAlignment w:val="center"/>
      </w:pPr>
      <w:r w:rsidRPr="00B57BD2">
        <w:rPr>
          <w:noProof/>
          <w:position w:val="-24"/>
          <w:lang w:eastAsia="lt-LT"/>
        </w:rPr>
        <w:drawing>
          <wp:inline distT="0" distB="0" distL="0" distR="0" wp14:anchorId="2535458C" wp14:editId="739E1690">
            <wp:extent cx="1590675" cy="409575"/>
            <wp:effectExtent l="0" t="0" r="9525" b="952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0675" cy="409575"/>
                    </a:xfrm>
                    <a:prstGeom prst="rect">
                      <a:avLst/>
                    </a:prstGeom>
                    <a:noFill/>
                  </pic:spPr>
                </pic:pic>
              </a:graphicData>
            </a:graphic>
          </wp:inline>
        </w:drawing>
      </w:r>
      <w:r w:rsidR="002C3F58">
        <w:rPr>
          <w:position w:val="-24"/>
        </w:rPr>
        <w:t>,</w:t>
      </w:r>
      <w:r w:rsidR="002C3F58">
        <w:rPr>
          <w:b/>
          <w:position w:val="-24"/>
        </w:rPr>
        <w:t xml:space="preserve"> </w:t>
      </w:r>
      <w:r w:rsidR="002C3F58">
        <w:rPr>
          <w:color w:val="000000"/>
          <w:lang w:val="en-GB"/>
        </w:rPr>
        <w:t>   (6)</w:t>
      </w:r>
    </w:p>
    <w:p w14:paraId="0DA548CF" w14:textId="77777777" w:rsidR="00CA353F" w:rsidRDefault="002C3F58">
      <w:pPr>
        <w:suppressAutoHyphens/>
        <w:ind w:firstLine="567"/>
        <w:jc w:val="both"/>
        <w:textAlignment w:val="center"/>
      </w:pPr>
      <w:r>
        <w:t>čia</w:t>
      </w:r>
    </w:p>
    <w:p w14:paraId="0DA548D0" w14:textId="77777777" w:rsidR="00CA353F" w:rsidRDefault="002C3F58">
      <w:pPr>
        <w:suppressAutoHyphens/>
        <w:ind w:firstLine="567"/>
        <w:jc w:val="both"/>
        <w:textAlignment w:val="center"/>
      </w:pPr>
      <w:r>
        <w:t>L</w:t>
      </w:r>
      <w:r>
        <w:rPr>
          <w:vertAlign w:val="subscript"/>
        </w:rPr>
        <w:t>k</w:t>
      </w:r>
      <w:r>
        <w:t xml:space="preserve"> – kainų viršutinių ribų skaičiavimuose numatyta koreguojama tiekimo sąnaudų dalis be nusidėvėjimo (amortizacijos), darbo užmokesčio, palūkanų ir mokesčių visose sąnaudose, %; </w:t>
      </w:r>
    </w:p>
    <w:p w14:paraId="0DA548D1" w14:textId="77777777" w:rsidR="00CA353F" w:rsidRDefault="002C3F58">
      <w:pPr>
        <w:suppressAutoHyphens/>
        <w:ind w:firstLine="567"/>
        <w:jc w:val="both"/>
        <w:textAlignment w:val="center"/>
      </w:pPr>
      <w:r>
        <w:t>I</w:t>
      </w:r>
      <w:r>
        <w:rPr>
          <w:vertAlign w:val="subscript"/>
        </w:rPr>
        <w:t>m</w:t>
      </w:r>
      <w:r>
        <w:rPr>
          <w:b/>
          <w:vertAlign w:val="subscript"/>
        </w:rPr>
        <w:t> </w:t>
      </w:r>
      <w:r>
        <w:t xml:space="preserve"> – Lietuvos statistikos departamento prie Lietuvos Respublikos Vyriausybės paskelbta paskutinio mėnesio metinė infliacija, %;</w:t>
      </w:r>
    </w:p>
    <w:p w14:paraId="0DA548D2" w14:textId="77777777" w:rsidR="00CA353F" w:rsidRDefault="002C3F58">
      <w:pPr>
        <w:suppressAutoHyphens/>
        <w:ind w:firstLine="567"/>
        <w:jc w:val="both"/>
        <w:textAlignment w:val="center"/>
      </w:pPr>
      <w:r>
        <w:t>E</w:t>
      </w:r>
      <w:r>
        <w:rPr>
          <w:vertAlign w:val="subscript"/>
        </w:rPr>
        <w:t>ef</w:t>
      </w:r>
      <w:r>
        <w:t> – efektyvumo rodiklis, kuris yra lygus pusei metinės infliacijos, tačiau ne didesnis nei 3 %.</w:t>
      </w:r>
    </w:p>
    <w:p w14:paraId="0DA548D3" w14:textId="77777777" w:rsidR="00CA353F" w:rsidRDefault="002C3F58">
      <w:pPr>
        <w:suppressAutoHyphens/>
        <w:ind w:firstLine="567"/>
        <w:jc w:val="both"/>
        <w:textAlignment w:val="center"/>
      </w:pPr>
      <w:r>
        <w:t>I</w:t>
      </w:r>
      <w:r>
        <w:rPr>
          <w:vertAlign w:val="subscript"/>
        </w:rPr>
        <w:t>nusid</w:t>
      </w:r>
      <w:r>
        <w:t> – nusidėvėjimo (amortizacijos) sąnaudų koregavimo koeficientas, nustatomas, atsižvelgiant į ilgalaikėje veiklos programoje numatytų ir su Komisija suderintų investicijų faktinį įvykdymą, ir skaičiuojamas pagal formulę:</w:t>
      </w:r>
    </w:p>
    <w:p w14:paraId="0DA548D4" w14:textId="77777777" w:rsidR="00CA353F" w:rsidRDefault="00CA353F">
      <w:pPr>
        <w:suppressAutoHyphens/>
        <w:ind w:firstLine="567"/>
        <w:jc w:val="both"/>
        <w:textAlignment w:val="center"/>
      </w:pPr>
    </w:p>
    <w:p w14:paraId="0DA548D5" w14:textId="7E50665A" w:rsidR="00CA353F" w:rsidRDefault="00B57BD2">
      <w:pPr>
        <w:tabs>
          <w:tab w:val="left" w:pos="10260"/>
        </w:tabs>
        <w:suppressAutoHyphens/>
        <w:ind w:firstLine="567"/>
        <w:textAlignment w:val="center"/>
      </w:pPr>
      <w:r w:rsidRPr="00B57BD2">
        <w:rPr>
          <w:noProof/>
          <w:position w:val="-28"/>
          <w:lang w:eastAsia="lt-LT"/>
        </w:rPr>
        <w:drawing>
          <wp:inline distT="0" distB="0" distL="0" distR="0" wp14:anchorId="1184BF49" wp14:editId="035A34A3">
            <wp:extent cx="2809240" cy="438150"/>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9240" cy="438150"/>
                    </a:xfrm>
                    <a:prstGeom prst="rect">
                      <a:avLst/>
                    </a:prstGeom>
                    <a:noFill/>
                  </pic:spPr>
                </pic:pic>
              </a:graphicData>
            </a:graphic>
          </wp:inline>
        </w:drawing>
      </w:r>
      <w:r w:rsidR="002C3F58">
        <w:rPr>
          <w:color w:val="000000"/>
          <w:lang w:val="en-GB"/>
        </w:rPr>
        <w:t xml:space="preserve">    (7)</w:t>
      </w:r>
    </w:p>
    <w:p w14:paraId="0DA548D6" w14:textId="77777777" w:rsidR="00CA353F" w:rsidRDefault="002C3F58">
      <w:pPr>
        <w:suppressAutoHyphens/>
        <w:ind w:firstLine="567"/>
        <w:jc w:val="both"/>
        <w:textAlignment w:val="center"/>
      </w:pPr>
      <w:r>
        <w:t>čia</w:t>
      </w:r>
    </w:p>
    <w:p w14:paraId="0DA548D7" w14:textId="77777777" w:rsidR="00CA353F" w:rsidRDefault="002C3F58">
      <w:pPr>
        <w:suppressAutoHyphens/>
        <w:ind w:firstLine="567"/>
        <w:jc w:val="both"/>
        <w:textAlignment w:val="center"/>
      </w:pPr>
      <w:r>
        <w:t>L</w:t>
      </w:r>
      <w:r>
        <w:rPr>
          <w:vertAlign w:val="subscript"/>
        </w:rPr>
        <w:t>nusid</w:t>
      </w:r>
      <w:r>
        <w:t> – kainų viršutinių ribų skaičiavimuose numatyta koreguojama nusidėvėjimo (amortizacijos) sąnaudų dalis visose sąnaudose, %;</w:t>
      </w:r>
    </w:p>
    <w:p w14:paraId="0DA548D8" w14:textId="77777777" w:rsidR="00CA353F" w:rsidRDefault="002C3F58">
      <w:pPr>
        <w:suppressAutoHyphens/>
        <w:ind w:firstLine="567"/>
        <w:jc w:val="both"/>
        <w:textAlignment w:val="center"/>
      </w:pPr>
      <w:r>
        <w:t>S</w:t>
      </w:r>
      <w:r>
        <w:rPr>
          <w:vertAlign w:val="subscript"/>
        </w:rPr>
        <w:t>nusid baz i </w:t>
      </w:r>
      <w:r>
        <w:t>– bazinės nusidėvėjimo (amortizacijos) sąnaudos, nustatytos i-aisiais kainų reguliavimo metais, Lt;</w:t>
      </w:r>
    </w:p>
    <w:p w14:paraId="0DA548D9" w14:textId="77777777" w:rsidR="00CA353F" w:rsidRDefault="002C3F58">
      <w:pPr>
        <w:suppressAutoHyphens/>
        <w:ind w:firstLine="567"/>
        <w:jc w:val="both"/>
        <w:textAlignment w:val="center"/>
      </w:pPr>
      <w:r>
        <w:t>S</w:t>
      </w:r>
      <w:r>
        <w:rPr>
          <w:vertAlign w:val="subscript"/>
        </w:rPr>
        <w:t>nusid i</w:t>
      </w:r>
      <w:r>
        <w:t xml:space="preserve"> – nusidėvėjimo (amortizacijos) sąnaudos, įvertinus įvykdytas ilgalaikėje veiklos programoje numatytas ir su Komisija suderintas investicijas i-aisiais kainų reguliavimo </w:t>
      </w:r>
      <w:r>
        <w:lastRenderedPageBreak/>
        <w:t>metais, ir pakoreguotos pagal faktinių nusidėvėjimo sąnaudų i-aisiais metais nuokrypį nuo tų metų kainų viršutinių ribų skaičiavimuose naudotų nusidėvėjimo sąnaudų dydžio, Lt.</w:t>
      </w:r>
    </w:p>
    <w:p w14:paraId="0DA548DA" w14:textId="77777777" w:rsidR="00CA353F" w:rsidRDefault="002C3F58">
      <w:pPr>
        <w:suppressAutoHyphens/>
        <w:ind w:firstLine="567"/>
        <w:jc w:val="both"/>
        <w:textAlignment w:val="center"/>
      </w:pPr>
      <w:r>
        <w:t>X – rodiklis, atspindintis nuo įmonės veiklos nepriklausančių veiksnių pokyčius: pasikeitus mokesčiams, teisės aktų reikalavimams, ekonomikos ir darbo rinkos tendencijoms, bei kt. ir skaičiuojamas pagal formulę:</w:t>
      </w:r>
    </w:p>
    <w:p w14:paraId="0DA548DC" w14:textId="7B29AAEC" w:rsidR="00CA353F" w:rsidRDefault="00B57BD2">
      <w:pPr>
        <w:suppressAutoHyphens/>
        <w:ind w:firstLine="567"/>
        <w:jc w:val="both"/>
        <w:textAlignment w:val="center"/>
        <w:rPr>
          <w:lang w:val="fr-FR"/>
        </w:rPr>
      </w:pPr>
      <w:r>
        <w:rPr>
          <w:b/>
          <w:noProof/>
          <w:position w:val="-30"/>
          <w:lang w:eastAsia="lt-LT"/>
        </w:rPr>
        <w:drawing>
          <wp:inline distT="0" distB="0" distL="0" distR="0" wp14:anchorId="68DCBA42" wp14:editId="2DE256AE">
            <wp:extent cx="2038350" cy="466725"/>
            <wp:effectExtent l="0" t="0" r="0" b="952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8350" cy="466725"/>
                    </a:xfrm>
                    <a:prstGeom prst="rect">
                      <a:avLst/>
                    </a:prstGeom>
                    <a:noFill/>
                  </pic:spPr>
                </pic:pic>
              </a:graphicData>
            </a:graphic>
          </wp:inline>
        </w:drawing>
      </w:r>
      <w:r w:rsidR="002C3F58">
        <w:rPr>
          <w:color w:val="000000"/>
          <w:lang w:val="fr-FR"/>
        </w:rPr>
        <w:t>   (8)</w:t>
      </w:r>
    </w:p>
    <w:p w14:paraId="0DA548DD" w14:textId="77777777" w:rsidR="00CA353F" w:rsidRDefault="002C3F58">
      <w:pPr>
        <w:suppressAutoHyphens/>
        <w:ind w:firstLine="567"/>
        <w:jc w:val="both"/>
        <w:textAlignment w:val="center"/>
      </w:pPr>
      <w:r>
        <w:t xml:space="preserve">čia </w:t>
      </w:r>
    </w:p>
    <w:p w14:paraId="0DA548DE" w14:textId="77777777" w:rsidR="00CA353F" w:rsidRDefault="002C3F58">
      <w:pPr>
        <w:suppressAutoHyphens/>
        <w:ind w:firstLine="567"/>
        <w:jc w:val="both"/>
        <w:textAlignment w:val="center"/>
      </w:pPr>
      <w:r>
        <w:t>L</w:t>
      </w:r>
      <w:r>
        <w:rPr>
          <w:vertAlign w:val="superscript"/>
        </w:rPr>
        <w:t>t</w:t>
      </w:r>
      <w:r>
        <w:rPr>
          <w:vertAlign w:val="subscript"/>
        </w:rPr>
        <w:t>x</w:t>
      </w:r>
      <w:r>
        <w:t> – t-ojo veiksnio dalis visose sąnaudose;</w:t>
      </w:r>
    </w:p>
    <w:p w14:paraId="0DA548DF" w14:textId="77777777" w:rsidR="00CA353F" w:rsidRDefault="002C3F58">
      <w:pPr>
        <w:suppressAutoHyphens/>
        <w:ind w:firstLine="567"/>
        <w:jc w:val="both"/>
        <w:textAlignment w:val="center"/>
      </w:pPr>
      <w:r>
        <w:t>X</w:t>
      </w:r>
      <w:r>
        <w:rPr>
          <w:vertAlign w:val="superscript"/>
        </w:rPr>
        <w:t>t</w:t>
      </w:r>
      <w:r>
        <w:rPr>
          <w:vertAlign w:val="subscript"/>
        </w:rPr>
        <w:t>t</w:t>
      </w:r>
      <w:r>
        <w:t> – t-ojo veiksnio reikšmė i-aisiais metais;</w:t>
      </w:r>
    </w:p>
    <w:p w14:paraId="0DA548E0" w14:textId="77777777" w:rsidR="00CA353F" w:rsidRDefault="002C3F58">
      <w:pPr>
        <w:suppressAutoHyphens/>
        <w:ind w:firstLine="567"/>
        <w:jc w:val="both"/>
        <w:textAlignment w:val="center"/>
      </w:pPr>
      <w:r>
        <w:t>n – veiksnių skaičius.</w:t>
      </w:r>
    </w:p>
    <w:p w14:paraId="0DA548E1" w14:textId="77777777" w:rsidR="00CA353F" w:rsidRDefault="002C3F58">
      <w:pPr>
        <w:suppressAutoHyphens/>
        <w:ind w:firstLine="567"/>
        <w:jc w:val="both"/>
        <w:textAlignment w:val="center"/>
      </w:pPr>
      <w:r>
        <w:t>K</w:t>
      </w:r>
      <w:r>
        <w:rPr>
          <w:vertAlign w:val="subscript"/>
        </w:rPr>
        <w:t>t saug</w:t>
      </w:r>
      <w:r>
        <w:t> – tiekimo saugumo buitiniams vartotojams užtikrinimo sąnaudų koregavimo koeficientas, skaičiuojamas pagal formulę:</w:t>
      </w:r>
    </w:p>
    <w:p w14:paraId="0DA548E2" w14:textId="77777777" w:rsidR="00CA353F" w:rsidRDefault="00CA353F">
      <w:pPr>
        <w:suppressAutoHyphens/>
        <w:ind w:firstLine="567"/>
        <w:jc w:val="both"/>
        <w:textAlignment w:val="center"/>
      </w:pPr>
    </w:p>
    <w:p w14:paraId="0DA548E4" w14:textId="59E3ECB2" w:rsidR="00CA353F" w:rsidRDefault="00B57BD2">
      <w:pPr>
        <w:tabs>
          <w:tab w:val="left" w:pos="10260"/>
        </w:tabs>
        <w:suppressAutoHyphens/>
        <w:ind w:firstLine="567"/>
        <w:jc w:val="both"/>
        <w:textAlignment w:val="center"/>
      </w:pPr>
      <w:r>
        <w:rPr>
          <w:noProof/>
          <w:position w:val="-32"/>
          <w:lang w:eastAsia="lt-LT"/>
        </w:rPr>
        <w:drawing>
          <wp:inline distT="0" distB="0" distL="0" distR="0" wp14:anchorId="1223C55D" wp14:editId="44F09410">
            <wp:extent cx="2466975" cy="371475"/>
            <wp:effectExtent l="0" t="0" r="0" b="952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6975" cy="371475"/>
                    </a:xfrm>
                    <a:prstGeom prst="rect">
                      <a:avLst/>
                    </a:prstGeom>
                    <a:noFill/>
                  </pic:spPr>
                </pic:pic>
              </a:graphicData>
            </a:graphic>
          </wp:inline>
        </w:drawing>
      </w:r>
      <w:r w:rsidR="002C3F58">
        <w:rPr>
          <w:color w:val="000000"/>
          <w:lang w:val="en-GB"/>
        </w:rPr>
        <w:t>   (9)</w:t>
      </w:r>
    </w:p>
    <w:p w14:paraId="0DA548E5" w14:textId="77777777" w:rsidR="00CA353F" w:rsidRDefault="002C3F58">
      <w:pPr>
        <w:suppressAutoHyphens/>
        <w:ind w:firstLine="567"/>
        <w:jc w:val="both"/>
        <w:textAlignment w:val="center"/>
      </w:pPr>
      <w:r>
        <w:t>čia</w:t>
      </w:r>
    </w:p>
    <w:p w14:paraId="0DA548E6" w14:textId="77777777" w:rsidR="00CA353F" w:rsidRDefault="002C3F58">
      <w:pPr>
        <w:suppressAutoHyphens/>
        <w:ind w:firstLine="567"/>
        <w:jc w:val="both"/>
        <w:textAlignment w:val="center"/>
      </w:pPr>
      <w:r>
        <w:t>L</w:t>
      </w:r>
      <w:r>
        <w:rPr>
          <w:vertAlign w:val="subscript"/>
        </w:rPr>
        <w:t>t saug</w:t>
      </w:r>
      <w:r>
        <w:t> – koreguojama tiekimo saugumo buitiniams vartotojams užtikrinimo sąnaudų dalis visose tiekimo veiklos sąnaudose, %;</w:t>
      </w:r>
    </w:p>
    <w:p w14:paraId="0DA548E7" w14:textId="77777777" w:rsidR="00CA353F" w:rsidRDefault="002C3F58">
      <w:pPr>
        <w:suppressAutoHyphens/>
        <w:ind w:firstLine="567"/>
        <w:jc w:val="both"/>
        <w:textAlignment w:val="center"/>
      </w:pPr>
      <w:r>
        <w:t>S</w:t>
      </w:r>
      <w:r>
        <w:rPr>
          <w:vertAlign w:val="subscript"/>
        </w:rPr>
        <w:t>t saug (i+1)</w:t>
      </w:r>
      <w:r>
        <w:t xml:space="preserve"> – prognozuojamos tiekimo saugumo buitiniams vartotojams užtikrinimo sąnaudos (i+1)-aisiais kainų reguliavimo metais, Lt. </w:t>
      </w:r>
    </w:p>
    <w:p w14:paraId="0DA548E8" w14:textId="77777777" w:rsidR="00CA353F" w:rsidRDefault="002C3F58">
      <w:pPr>
        <w:suppressAutoHyphens/>
        <w:ind w:firstLine="567"/>
        <w:jc w:val="both"/>
        <w:textAlignment w:val="center"/>
      </w:pPr>
      <w:r>
        <w:t>S</w:t>
      </w:r>
      <w:r>
        <w:rPr>
          <w:vertAlign w:val="subscript"/>
        </w:rPr>
        <w:t>t saug baz i</w:t>
      </w:r>
      <w:r>
        <w:t> – tiekimo saugumo buitiniams vartotojams užtikrinimo bazinės sąnaudos i-aisiais kainų reguliavimo metais, Lt.</w:t>
      </w:r>
    </w:p>
    <w:p w14:paraId="0DA548E9" w14:textId="77777777" w:rsidR="00CA353F" w:rsidRDefault="002C3F58">
      <w:pPr>
        <w:suppressAutoHyphens/>
        <w:ind w:firstLine="567"/>
        <w:jc w:val="both"/>
        <w:textAlignment w:val="center"/>
      </w:pPr>
      <w:r>
        <w:t>K</w:t>
      </w:r>
      <w:r>
        <w:rPr>
          <w:vertAlign w:val="subscript"/>
        </w:rPr>
        <w:t xml:space="preserve">pask t </w:t>
      </w:r>
      <w:r>
        <w:t> – paskirtojo tiekimo sąnaudų koregavimo koeficientas, skaičiuojamas pagal formulę:</w:t>
      </w:r>
    </w:p>
    <w:p w14:paraId="0DA548EA" w14:textId="77777777" w:rsidR="00CA353F" w:rsidRDefault="00CA353F">
      <w:pPr>
        <w:suppressAutoHyphens/>
        <w:ind w:firstLine="567"/>
        <w:jc w:val="both"/>
        <w:textAlignment w:val="center"/>
      </w:pPr>
    </w:p>
    <w:p w14:paraId="0DA548EC" w14:textId="19FC21C5" w:rsidR="00CA353F" w:rsidRDefault="00B57BD2" w:rsidP="00B57BD2">
      <w:pPr>
        <w:tabs>
          <w:tab w:val="left" w:pos="10080"/>
        </w:tabs>
        <w:suppressAutoHyphens/>
        <w:ind w:firstLine="567"/>
        <w:textAlignment w:val="center"/>
      </w:pPr>
      <w:r w:rsidRPr="00B57BD2">
        <w:rPr>
          <w:noProof/>
          <w:position w:val="-32"/>
          <w:lang w:eastAsia="lt-LT"/>
        </w:rPr>
        <w:drawing>
          <wp:inline distT="0" distB="0" distL="0" distR="0" wp14:anchorId="1D30C6B8" wp14:editId="16AA99B6">
            <wp:extent cx="2276475" cy="495300"/>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76475" cy="495300"/>
                    </a:xfrm>
                    <a:prstGeom prst="rect">
                      <a:avLst/>
                    </a:prstGeom>
                    <a:noFill/>
                  </pic:spPr>
                </pic:pic>
              </a:graphicData>
            </a:graphic>
          </wp:inline>
        </w:drawing>
      </w:r>
      <w:r w:rsidR="002C3F58">
        <w:rPr>
          <w:position w:val="-32"/>
        </w:rPr>
        <w:t xml:space="preserve">, </w:t>
      </w:r>
      <w:r w:rsidR="002C3F58">
        <w:rPr>
          <w:color w:val="000000"/>
          <w:lang w:val="en-GB"/>
        </w:rPr>
        <w:t>   (10)</w:t>
      </w:r>
    </w:p>
    <w:p w14:paraId="0DA548ED" w14:textId="77777777" w:rsidR="00CA353F" w:rsidRDefault="002C3F58">
      <w:pPr>
        <w:suppressAutoHyphens/>
        <w:ind w:firstLine="567"/>
        <w:jc w:val="both"/>
        <w:textAlignment w:val="center"/>
      </w:pPr>
      <w:r>
        <w:t>čia</w:t>
      </w:r>
    </w:p>
    <w:p w14:paraId="0DA548EE" w14:textId="77777777" w:rsidR="00CA353F" w:rsidRDefault="002C3F58">
      <w:pPr>
        <w:suppressAutoHyphens/>
        <w:ind w:firstLine="567"/>
        <w:jc w:val="both"/>
        <w:textAlignment w:val="center"/>
      </w:pPr>
      <w:r>
        <w:t>L</w:t>
      </w:r>
      <w:r>
        <w:rPr>
          <w:vertAlign w:val="subscript"/>
        </w:rPr>
        <w:t>pask t</w:t>
      </w:r>
      <w:r>
        <w:t> – koreguojama paskirtojo tiekimo sąnaudų dalis visose tiekimo veiklos sąnaudose, %;</w:t>
      </w:r>
    </w:p>
    <w:p w14:paraId="0DA548EF" w14:textId="77777777" w:rsidR="00CA353F" w:rsidRDefault="002C3F58">
      <w:pPr>
        <w:suppressAutoHyphens/>
        <w:ind w:firstLine="567"/>
        <w:jc w:val="both"/>
        <w:textAlignment w:val="center"/>
      </w:pPr>
      <w:r>
        <w:t>S</w:t>
      </w:r>
      <w:r>
        <w:rPr>
          <w:vertAlign w:val="subscript"/>
        </w:rPr>
        <w:t>pask t (i+1)</w:t>
      </w:r>
      <w:r>
        <w:t> – prognozuojamos paskirtojo tiekimo sąnaudos (i+1)-aisiais kainų reguliavimo metais, Lt;</w:t>
      </w:r>
    </w:p>
    <w:p w14:paraId="0DA548F0" w14:textId="77777777" w:rsidR="00CA353F" w:rsidRDefault="002C3F58">
      <w:pPr>
        <w:suppressAutoHyphens/>
        <w:ind w:firstLine="567"/>
        <w:jc w:val="both"/>
        <w:textAlignment w:val="center"/>
      </w:pPr>
      <w:r>
        <w:t>S</w:t>
      </w:r>
      <w:r>
        <w:rPr>
          <w:vertAlign w:val="subscript"/>
        </w:rPr>
        <w:t>pask t baz  i</w:t>
      </w:r>
      <w:r>
        <w:t> – paskirtojo tiekimo bazinės sąnaudos i-aisiais kainų reguliavimo metais, Lt.</w:t>
      </w:r>
    </w:p>
    <w:p w14:paraId="0DA548F1" w14:textId="77777777" w:rsidR="00CA353F" w:rsidRDefault="00B57BD2">
      <w:pPr>
        <w:suppressAutoHyphens/>
        <w:ind w:firstLine="567"/>
        <w:jc w:val="both"/>
        <w:textAlignment w:val="center"/>
      </w:pPr>
      <w:r w:rsidR="002C3F58">
        <w:t>50</w:t>
      </w:r>
      <w:r w:rsidR="002C3F58">
        <w:t>. Dujų tiekimo kainos viršutinė riba dujų tiekimo įmonėms, kurios neimportuoja gamtinių dujų, skaičiuojama pagal (1) formulės pirmąjį dėmenį, priskaičiuojant pelną. Pelno prieš apmokestinimą norma tiekimo veikloje skaičiuojama nuo nustatytų bazinių tiekimo sąnaudų ir turi būti ne mažesnė kaip dešimties metų trukmės Vyriausybės vertybinių popierių aukcionų, įvykusių per praėjusius paskutinius 36 kalendorinius mėnesius, metinės palūkanų normos procentais aritmetinis svertinis vidurkis, bet ne didesnė kaip 5 procentai</w:t>
      </w:r>
      <w:r w:rsidR="002C3F58">
        <w:rPr>
          <w:b/>
        </w:rPr>
        <w:t xml:space="preserve">. </w:t>
      </w:r>
      <w:r w:rsidR="002C3F58">
        <w:t xml:space="preserve">Dujų tiekimo viršutinė kainos riba koreguojama pagal 3 formulės pirmąjį dėmenį, o pelnas skaičiuojamas nuo koreguotų sąnaudų. </w:t>
      </w:r>
    </w:p>
    <w:p w14:paraId="0DA548F2" w14:textId="77777777" w:rsidR="00CA353F" w:rsidRDefault="00B57BD2">
      <w:pPr>
        <w:suppressAutoHyphens/>
        <w:ind w:firstLine="567"/>
        <w:jc w:val="both"/>
        <w:textAlignment w:val="center"/>
      </w:pPr>
      <w:r w:rsidR="002C3F58">
        <w:t>51</w:t>
      </w:r>
      <w:r w:rsidR="002C3F58">
        <w:t xml:space="preserve">. Gamtinių dujų atsargos buitiniams vartotojams kaupiamos, remiantis Gamtinių dujų tiekimo saugumo užtikrinimo priemonių aprašo nuostatomis. Dujų tiekimo saugumo buitiniams vartotojams užtikrinimo sąnaudos koreguojamos, atsižvelgus į privalomų saugoti dujų kiekių pokyčius dujų saugykloje. </w:t>
      </w:r>
    </w:p>
    <w:p w14:paraId="0DA548F3" w14:textId="77777777" w:rsidR="00CA353F" w:rsidRDefault="00B57BD2">
      <w:pPr>
        <w:suppressAutoHyphens/>
        <w:ind w:firstLine="567"/>
        <w:jc w:val="both"/>
        <w:textAlignment w:val="center"/>
      </w:pPr>
    </w:p>
    <w:p w14:paraId="0DA548F4" w14:textId="77777777" w:rsidR="00CA353F" w:rsidRDefault="00B57BD2">
      <w:pPr>
        <w:keepLines/>
        <w:suppressAutoHyphens/>
        <w:jc w:val="center"/>
        <w:textAlignment w:val="center"/>
        <w:rPr>
          <w:b/>
          <w:bCs/>
          <w:caps/>
        </w:rPr>
      </w:pPr>
      <w:r w:rsidR="002C3F58">
        <w:rPr>
          <w:b/>
          <w:bCs/>
          <w:caps/>
        </w:rPr>
        <w:t>VI</w:t>
      </w:r>
      <w:r w:rsidR="002C3F58">
        <w:rPr>
          <w:b/>
          <w:bCs/>
          <w:caps/>
        </w:rPr>
        <w:t xml:space="preserve">. </w:t>
      </w:r>
      <w:r w:rsidR="002C3F58">
        <w:rPr>
          <w:b/>
          <w:bCs/>
          <w:caps/>
        </w:rPr>
        <w:t>DUJŲ PIRKIMO (IMPORTO) KAINA</w:t>
      </w:r>
    </w:p>
    <w:p w14:paraId="0DA548F5" w14:textId="77777777" w:rsidR="00CA353F" w:rsidRDefault="00CA353F">
      <w:pPr>
        <w:suppressAutoHyphens/>
        <w:ind w:firstLine="567"/>
        <w:jc w:val="both"/>
        <w:textAlignment w:val="center"/>
      </w:pPr>
    </w:p>
    <w:p w14:paraId="0DA548F6" w14:textId="77777777" w:rsidR="00CA353F" w:rsidRDefault="00B57BD2">
      <w:pPr>
        <w:suppressAutoHyphens/>
        <w:ind w:firstLine="567"/>
        <w:jc w:val="both"/>
        <w:textAlignment w:val="center"/>
        <w:rPr>
          <w:u w:val="single"/>
        </w:rPr>
      </w:pPr>
      <w:r w:rsidR="002C3F58">
        <w:t>52</w:t>
      </w:r>
      <w:r w:rsidR="002C3F58">
        <w:t xml:space="preserve">. Nustatant ir koreguojant dujų tiekimo kainos viršutines ribas ir dujų tiekimo saugumo buitiniams vartotojams užtikrinimo metines sąnaudas, skaičiuojama metinė dujų pirkimo (importo) kaina. </w:t>
      </w:r>
    </w:p>
    <w:p w14:paraId="0DA548F7" w14:textId="77777777" w:rsidR="00CA353F" w:rsidRDefault="00B57BD2">
      <w:pPr>
        <w:suppressAutoHyphens/>
        <w:ind w:firstLine="567"/>
        <w:jc w:val="both"/>
        <w:textAlignment w:val="center"/>
        <w:rPr>
          <w:u w:val="single"/>
        </w:rPr>
      </w:pPr>
      <w:r w:rsidR="002C3F58">
        <w:t>53</w:t>
      </w:r>
      <w:r w:rsidR="002C3F58">
        <w:t>. Metinė dujų pirkimo (importo) kaina skaičiuojama pagal formulę:</w:t>
      </w:r>
      <w:r w:rsidR="002C3F58">
        <w:rPr>
          <w:u w:val="single"/>
        </w:rPr>
        <w:t xml:space="preserve"> </w:t>
      </w:r>
    </w:p>
    <w:p w14:paraId="0DA548F8" w14:textId="77777777" w:rsidR="00CA353F" w:rsidRDefault="00CA353F">
      <w:pPr>
        <w:suppressAutoHyphens/>
        <w:ind w:firstLine="567"/>
        <w:jc w:val="both"/>
        <w:textAlignment w:val="center"/>
      </w:pPr>
    </w:p>
    <w:p w14:paraId="0DA548F9" w14:textId="32EC5BD2" w:rsidR="00CA353F" w:rsidRDefault="00B57BD2">
      <w:pPr>
        <w:ind w:firstLine="567"/>
        <w:rPr>
          <w:u w:val="single"/>
        </w:rPr>
      </w:pPr>
      <w:r w:rsidRPr="00B57BD2">
        <w:rPr>
          <w:noProof/>
          <w:lang w:eastAsia="lt-LT"/>
        </w:rPr>
        <w:drawing>
          <wp:inline distT="0" distB="0" distL="0" distR="0" wp14:anchorId="779975E7" wp14:editId="20E35C45">
            <wp:extent cx="904875" cy="247650"/>
            <wp:effectExtent l="0" t="0" r="9525"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4875" cy="247650"/>
                    </a:xfrm>
                    <a:prstGeom prst="rect">
                      <a:avLst/>
                    </a:prstGeom>
                    <a:noFill/>
                  </pic:spPr>
                </pic:pic>
              </a:graphicData>
            </a:graphic>
          </wp:inline>
        </w:drawing>
      </w:r>
      <w:r w:rsidR="002C3F58">
        <w:t xml:space="preserve"> Lt/tūkst. m³,     (11)</w:t>
      </w:r>
    </w:p>
    <w:p w14:paraId="0DA548FA" w14:textId="77777777" w:rsidR="00CA353F" w:rsidRDefault="00CA353F">
      <w:pPr>
        <w:suppressAutoHyphens/>
        <w:ind w:firstLine="567"/>
        <w:jc w:val="both"/>
        <w:textAlignment w:val="center"/>
      </w:pPr>
    </w:p>
    <w:p w14:paraId="0DA548FB" w14:textId="77777777" w:rsidR="00CA353F" w:rsidRDefault="002C3F58">
      <w:pPr>
        <w:suppressAutoHyphens/>
        <w:ind w:firstLine="567"/>
        <w:jc w:val="both"/>
        <w:textAlignment w:val="center"/>
      </w:pPr>
      <w:r>
        <w:t>čia</w:t>
      </w:r>
    </w:p>
    <w:p w14:paraId="0DA548FC" w14:textId="77777777" w:rsidR="00CA353F" w:rsidRDefault="002C3F58">
      <w:pPr>
        <w:suppressAutoHyphens/>
        <w:ind w:firstLine="567"/>
        <w:jc w:val="both"/>
        <w:textAlignment w:val="center"/>
      </w:pPr>
      <w:r>
        <w:t>T</w:t>
      </w:r>
      <w:r>
        <w:rPr>
          <w:vertAlign w:val="subscript"/>
        </w:rPr>
        <w:t>i</w:t>
      </w:r>
      <w:r>
        <w:t xml:space="preserve"> – metinė dujų pirkimo (importo) kaina, Lt/tūkst. m</w:t>
      </w:r>
      <w:r>
        <w:rPr>
          <w:vertAlign w:val="superscript"/>
        </w:rPr>
        <w:t>3</w:t>
      </w:r>
      <w:r>
        <w:t xml:space="preserve">. </w:t>
      </w:r>
    </w:p>
    <w:p w14:paraId="0DA548FD" w14:textId="77777777" w:rsidR="00CA353F" w:rsidRDefault="002C3F58">
      <w:pPr>
        <w:suppressAutoHyphens/>
        <w:ind w:firstLine="567"/>
        <w:jc w:val="both"/>
        <w:textAlignment w:val="center"/>
      </w:pPr>
      <w:r>
        <w:t>Gamtinių dujų pirkimo (importo) kaina skaičiuojama pagal galiojančiose dujų pirkimo–pardavimo (tiekimo į Lietuvą) sutartyse nustatytas tiekimo formules. Jei pagal dujų pirkimo–pardavimo (tiekimo į Lietuvą) sutarčių sąlygas dujų pirkimo (importo) kaina perskaičiuojama dažniau nei kartą per metus, suskaičiuojamas prognozuojamos dvylikos mėnesių dujų pirkimo (importo) kainos svertinis vidurkis. Gamtinių dujų pirkimo (importo) kaina skaičiuojama kiekvienam mėnesiui pagal galiojančiose sutartyse nustatytas formules, naudojant faktines ir</w:t>
      </w:r>
      <w:r>
        <w:rPr>
          <w:b/>
        </w:rPr>
        <w:t xml:space="preserve"> </w:t>
      </w:r>
      <w:r>
        <w:t>prognozuojamas Londono biržos ateities sandorių (angl. – futures) mazuto ir gazolio kainas bei JAV dolerio / euro keitimo kursų pagal Čikagos biržos paskelbtus ateities sandorius reikšmes.</w:t>
      </w:r>
    </w:p>
    <w:p w14:paraId="0DA548FE" w14:textId="77777777" w:rsidR="00CA353F" w:rsidRDefault="002C3F58">
      <w:pPr>
        <w:suppressAutoHyphens/>
        <w:ind w:firstLine="567"/>
        <w:jc w:val="both"/>
        <w:textAlignment w:val="center"/>
      </w:pPr>
      <w:r>
        <w:t>K</w:t>
      </w:r>
      <w:r>
        <w:rPr>
          <w:vertAlign w:val="subscript"/>
        </w:rPr>
        <w:t>c</w:t>
      </w:r>
      <w:r>
        <w:t xml:space="preserve"> – žemutinės dujų degimo šilumos vertės pataisos koeficientas.</w:t>
      </w:r>
    </w:p>
    <w:p w14:paraId="0DA548FF" w14:textId="77777777" w:rsidR="00CA353F" w:rsidRDefault="00B57BD2">
      <w:pPr>
        <w:suppressAutoHyphens/>
        <w:ind w:firstLine="567"/>
        <w:jc w:val="both"/>
        <w:textAlignment w:val="center"/>
      </w:pPr>
      <w:r w:rsidR="002C3F58">
        <w:t>54</w:t>
      </w:r>
      <w:r w:rsidR="002C3F58">
        <w:t>. Dujų pirkimo (importo) kainų skaičiavimuose žemutinė dujų degimo šilumos vertė įvertinama pagal faktinį praėjusių paskutinių dvylikos mėnesių, prieš pateikiant Komisijai duomenis,</w:t>
      </w:r>
      <w:r w:rsidR="002C3F58">
        <w:rPr>
          <w:b/>
        </w:rPr>
        <w:t xml:space="preserve"> </w:t>
      </w:r>
      <w:r w:rsidR="002C3F58">
        <w:t>žemutinės dujų degimo šilumos vertės</w:t>
      </w:r>
      <w:r w:rsidR="002C3F58">
        <w:rPr>
          <w:b/>
        </w:rPr>
        <w:t xml:space="preserve"> </w:t>
      </w:r>
      <w:r w:rsidR="002C3F58">
        <w:t>vidurkį. Kainos pokytis dėl žemutinės dujų degimo šilumos vertės pasikeitimo nustatomas, įvertinus žemutinės dujų degimo šilumos vertės pataisos koeficientą (K</w:t>
      </w:r>
      <w:r w:rsidR="002C3F58">
        <w:rPr>
          <w:vertAlign w:val="subscript"/>
        </w:rPr>
        <w:t>c</w:t>
      </w:r>
      <w:r w:rsidR="002C3F58">
        <w:t>), kuris skaičiuojamas pagal formulę:</w:t>
      </w:r>
    </w:p>
    <w:p w14:paraId="0DA54900" w14:textId="77777777" w:rsidR="00CA353F" w:rsidRDefault="00CA353F">
      <w:pPr>
        <w:suppressAutoHyphens/>
        <w:ind w:firstLine="567"/>
        <w:jc w:val="both"/>
        <w:textAlignment w:val="center"/>
      </w:pPr>
    </w:p>
    <w:p w14:paraId="0DA54901" w14:textId="28762967" w:rsidR="00CA353F" w:rsidRDefault="00B57BD2">
      <w:pPr>
        <w:suppressAutoHyphens/>
        <w:ind w:firstLine="567"/>
        <w:jc w:val="both"/>
        <w:textAlignment w:val="center"/>
      </w:pPr>
      <w:r w:rsidRPr="00B57BD2">
        <w:rPr>
          <w:noProof/>
          <w:position w:val="-30"/>
          <w:lang w:eastAsia="lt-LT"/>
        </w:rPr>
        <w:drawing>
          <wp:inline distT="0" distB="0" distL="0" distR="0" wp14:anchorId="698B97AB" wp14:editId="173B273B">
            <wp:extent cx="809625" cy="523875"/>
            <wp:effectExtent l="0" t="0" r="0" b="9525"/>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9625" cy="523875"/>
                    </a:xfrm>
                    <a:prstGeom prst="rect">
                      <a:avLst/>
                    </a:prstGeom>
                    <a:noFill/>
                  </pic:spPr>
                </pic:pic>
              </a:graphicData>
            </a:graphic>
          </wp:inline>
        </w:drawing>
      </w:r>
      <w:r w:rsidR="002C3F58">
        <w:rPr>
          <w:color w:val="000000"/>
          <w:lang w:val="en-GB"/>
        </w:rPr>
        <w:t xml:space="preserve"> ,     (12)</w:t>
      </w:r>
    </w:p>
    <w:p w14:paraId="0DA54902" w14:textId="77777777" w:rsidR="00CA353F" w:rsidRDefault="002C3F58">
      <w:pPr>
        <w:suppressAutoHyphens/>
        <w:ind w:firstLine="567"/>
        <w:jc w:val="both"/>
        <w:textAlignment w:val="center"/>
      </w:pPr>
      <w:r>
        <w:t>čia</w:t>
      </w:r>
    </w:p>
    <w:p w14:paraId="0DA54903" w14:textId="77777777" w:rsidR="00CA353F" w:rsidRDefault="002C3F58">
      <w:pPr>
        <w:suppressAutoHyphens/>
        <w:ind w:firstLine="567"/>
        <w:jc w:val="both"/>
        <w:textAlignment w:val="center"/>
      </w:pPr>
      <w:r>
        <w:t>C</w:t>
      </w:r>
      <w:r>
        <w:rPr>
          <w:vertAlign w:val="subscript"/>
        </w:rPr>
        <w:t>v</w:t>
      </w:r>
      <w:r>
        <w:t> – praėjusių paskutinių dvylikos mėnesių, prieš pateikiant Komisijai duomenis, vidutinė žemutinė dujų degimo šilumos vertė, kcal/m</w:t>
      </w:r>
      <w:r>
        <w:rPr>
          <w:vertAlign w:val="superscript"/>
        </w:rPr>
        <w:t>3</w:t>
      </w:r>
      <w:r>
        <w:t>;</w:t>
      </w:r>
    </w:p>
    <w:p w14:paraId="0DA54904" w14:textId="77777777" w:rsidR="00CA353F" w:rsidRDefault="002C3F58">
      <w:pPr>
        <w:suppressAutoHyphens/>
        <w:ind w:firstLine="567"/>
        <w:jc w:val="both"/>
        <w:textAlignment w:val="center"/>
      </w:pPr>
      <w:r>
        <w:t>C</w:t>
      </w:r>
      <w:r>
        <w:rPr>
          <w:vertAlign w:val="subscript"/>
        </w:rPr>
        <w:t>baz</w:t>
      </w:r>
      <w:r>
        <w:t> – bazinė žemutinė dujų degimo šilumos vertė lygi 7900 kcal/m</w:t>
      </w:r>
      <w:r>
        <w:rPr>
          <w:vertAlign w:val="superscript"/>
        </w:rPr>
        <w:t>3</w:t>
      </w:r>
      <w:r>
        <w:t>.</w:t>
      </w:r>
    </w:p>
    <w:p w14:paraId="0DA54905" w14:textId="77777777" w:rsidR="00CA353F" w:rsidRDefault="00B57BD2">
      <w:pPr>
        <w:suppressAutoHyphens/>
        <w:ind w:firstLine="567"/>
        <w:jc w:val="both"/>
        <w:textAlignment w:val="center"/>
      </w:pPr>
    </w:p>
    <w:p w14:paraId="0DA54906" w14:textId="77777777" w:rsidR="00CA353F" w:rsidRDefault="00B57BD2">
      <w:pPr>
        <w:keepLines/>
        <w:suppressAutoHyphens/>
        <w:jc w:val="center"/>
        <w:textAlignment w:val="center"/>
        <w:rPr>
          <w:b/>
          <w:bCs/>
          <w:caps/>
        </w:rPr>
      </w:pPr>
      <w:r w:rsidR="002C3F58">
        <w:rPr>
          <w:b/>
          <w:bCs/>
          <w:caps/>
        </w:rPr>
        <w:t>VII</w:t>
      </w:r>
      <w:r w:rsidR="002C3F58">
        <w:rPr>
          <w:b/>
          <w:bCs/>
          <w:caps/>
        </w:rPr>
        <w:t xml:space="preserve">. </w:t>
      </w:r>
      <w:r w:rsidR="002C3F58">
        <w:rPr>
          <w:b/>
          <w:bCs/>
          <w:caps/>
        </w:rPr>
        <w:t>DUJŲ PIRKIMO (IMPORTO) KAINA BUITINIAMS VARTOTOJAMS</w:t>
      </w:r>
    </w:p>
    <w:p w14:paraId="0DA54907" w14:textId="77777777" w:rsidR="00CA353F" w:rsidRDefault="00CA353F">
      <w:pPr>
        <w:keepLines/>
        <w:suppressAutoHyphens/>
        <w:ind w:firstLine="567"/>
        <w:jc w:val="both"/>
        <w:textAlignment w:val="center"/>
        <w:rPr>
          <w:b/>
          <w:bCs/>
          <w:caps/>
        </w:rPr>
      </w:pPr>
    </w:p>
    <w:p w14:paraId="0DA54908" w14:textId="77777777" w:rsidR="00CA353F" w:rsidRDefault="00B57BD2">
      <w:pPr>
        <w:tabs>
          <w:tab w:val="left" w:pos="9540"/>
        </w:tabs>
        <w:suppressAutoHyphens/>
        <w:ind w:firstLine="567"/>
        <w:jc w:val="both"/>
        <w:textAlignment w:val="center"/>
      </w:pPr>
      <w:r w:rsidR="002C3F58">
        <w:t>55</w:t>
      </w:r>
      <w:r w:rsidR="002C3F58">
        <w:t xml:space="preserve">. Dujų pirkimo (importo) kaina buitiniams vartotojams skaičiuojama pagal formulę: </w:t>
      </w:r>
    </w:p>
    <w:p w14:paraId="0DA54909" w14:textId="77777777" w:rsidR="00CA353F" w:rsidRDefault="00CA353F">
      <w:pPr>
        <w:suppressAutoHyphens/>
        <w:ind w:firstLine="567"/>
        <w:jc w:val="both"/>
        <w:textAlignment w:val="center"/>
      </w:pPr>
    </w:p>
    <w:p w14:paraId="0DA5490B" w14:textId="5FA00F89" w:rsidR="00CA353F" w:rsidRDefault="00B57BD2" w:rsidP="00B57BD2">
      <w:pPr>
        <w:ind w:firstLine="567"/>
        <w:jc w:val="both"/>
      </w:pPr>
      <w:r>
        <w:rPr>
          <w:b/>
          <w:noProof/>
          <w:position w:val="-12"/>
          <w:lang w:eastAsia="lt-LT"/>
        </w:rPr>
        <w:drawing>
          <wp:inline distT="0" distB="0" distL="0" distR="0" wp14:anchorId="2915CB9A" wp14:editId="616DFFB4">
            <wp:extent cx="1457325" cy="247650"/>
            <wp:effectExtent l="0" t="0" r="9525"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57325" cy="247650"/>
                    </a:xfrm>
                    <a:prstGeom prst="rect">
                      <a:avLst/>
                    </a:prstGeom>
                    <a:noFill/>
                  </pic:spPr>
                </pic:pic>
              </a:graphicData>
            </a:graphic>
          </wp:inline>
        </w:drawing>
      </w:r>
      <w:r w:rsidR="002C3F58">
        <w:t>Lt/tūkst. m</w:t>
      </w:r>
      <w:r w:rsidR="002C3F58">
        <w:rPr>
          <w:b/>
        </w:rPr>
        <w:t>³</w:t>
      </w:r>
      <w:r w:rsidR="002C3F58">
        <w:t>,     (13)</w:t>
      </w:r>
    </w:p>
    <w:p w14:paraId="0DA5490C" w14:textId="77777777" w:rsidR="00CA353F" w:rsidRDefault="002C3F58">
      <w:pPr>
        <w:suppressAutoHyphens/>
        <w:ind w:firstLine="567"/>
        <w:jc w:val="both"/>
        <w:textAlignment w:val="center"/>
      </w:pPr>
      <w:r>
        <w:t>čia</w:t>
      </w:r>
    </w:p>
    <w:p w14:paraId="0DA5490D" w14:textId="77777777" w:rsidR="00CA353F" w:rsidRDefault="002C3F58">
      <w:pPr>
        <w:suppressAutoHyphens/>
        <w:ind w:firstLine="567"/>
        <w:jc w:val="both"/>
        <w:textAlignment w:val="center"/>
      </w:pPr>
      <w:r>
        <w:t>T</w:t>
      </w:r>
      <w:r>
        <w:rPr>
          <w:vertAlign w:val="subscript"/>
        </w:rPr>
        <w:t xml:space="preserve">i  buit </w:t>
      </w:r>
      <w:r>
        <w:t>– dujų pirkimo (importo) kaina buitiniams vartotojams, Lt/tūkst. m</w:t>
      </w:r>
      <w:r>
        <w:rPr>
          <w:vertAlign w:val="superscript"/>
        </w:rPr>
        <w:t>3</w:t>
      </w:r>
      <w:r>
        <w:t xml:space="preserve">. </w:t>
      </w:r>
    </w:p>
    <w:p w14:paraId="0DA5490E" w14:textId="77777777" w:rsidR="00CA353F" w:rsidRDefault="002C3F58">
      <w:pPr>
        <w:suppressAutoHyphens/>
        <w:ind w:firstLine="567"/>
        <w:jc w:val="both"/>
        <w:textAlignment w:val="center"/>
      </w:pPr>
      <w:r>
        <w:t>Gamtinių dujų pirkimo (importo) kaina buitiniams vartotojams skaičiuojama pagal galiojančiose dujų pirkimo–pardavimo (tiekimo į Lietuvą) sutartyse nustatytas tiekimo formules. Jei pagal dujų pirkimo–pardavimo (tiekimo į Lietuvą) sutarčių sąlygas dujų pirkimo (importo) kaina buitiniams vartotojams perskaičiuojama dažniau nei kartą</w:t>
      </w:r>
      <w:r>
        <w:rPr>
          <w:b/>
        </w:rPr>
        <w:t xml:space="preserve"> </w:t>
      </w:r>
      <w:r>
        <w:t>per metus, suskaičiuojamas prognozuojamos 6 mėnesių dujų pirkimo (importo) kainos buitiniams vartotojams svertinis vidurkis. Gamtinių dujų pirkimo (importo) kaina buitiniams vartotojams skaičiuojama pagal galiojančiose sutartyse nustatytas formules, kiekvieną mėnesį naudojant faktines ir prognozuojamas Londono biržos ateities sandorių (angl. – futures) mazuto ir gazolio kainas bei JAV dolerio / euro keitimo kursų pagal Čikagos biržos paskelbtus ateities sandorius reikšmes.</w:t>
      </w:r>
    </w:p>
    <w:p w14:paraId="0DA5490F" w14:textId="77777777" w:rsidR="00CA353F" w:rsidRDefault="002C3F58">
      <w:pPr>
        <w:suppressAutoHyphens/>
        <w:ind w:firstLine="567"/>
        <w:jc w:val="both"/>
        <w:textAlignment w:val="center"/>
        <w:rPr>
          <w:b/>
        </w:rPr>
      </w:pPr>
      <w:r>
        <w:t>K</w:t>
      </w:r>
      <w:r>
        <w:rPr>
          <w:vertAlign w:val="subscript"/>
        </w:rPr>
        <w:t xml:space="preserve">c buit </w:t>
      </w:r>
      <w:r>
        <w:t> – žemutinės dujų degimo šilumos vertės pataisos koeficientas.</w:t>
      </w:r>
    </w:p>
    <w:p w14:paraId="0DA54910" w14:textId="77777777" w:rsidR="00CA353F" w:rsidRDefault="00B57BD2">
      <w:pPr>
        <w:suppressAutoHyphens/>
        <w:ind w:firstLine="567"/>
        <w:jc w:val="both"/>
        <w:textAlignment w:val="center"/>
      </w:pPr>
      <w:r w:rsidR="002C3F58">
        <w:t>56</w:t>
      </w:r>
      <w:r w:rsidR="002C3F58">
        <w:t>. Dujų pirkimo (importo) kainų buitiniams vartotojams skaičiavimuose žemutinė dujų degimo šilumos vertė įvertinama pagal faktinį praėjusių metų atitinkamo laikotarpio žemutinės dujų degimo šilumos vertės vidurkį. Kainos pokytis dėl žemutinės dujų degimo šilumos vertės pasikeitimo nustatomas, įvertinus žemutinės dujų degimo šilumos vertės pataisos koeficientą (K</w:t>
      </w:r>
      <w:r w:rsidR="002C3F58">
        <w:rPr>
          <w:vertAlign w:val="subscript"/>
        </w:rPr>
        <w:t>c buit</w:t>
      </w:r>
      <w:r w:rsidR="002C3F58">
        <w:t>), kuris skaičiuojamas pagal formulę:</w:t>
      </w:r>
    </w:p>
    <w:p w14:paraId="0DA54911" w14:textId="05691159" w:rsidR="00CA353F" w:rsidRDefault="00B57BD2">
      <w:pPr>
        <w:tabs>
          <w:tab w:val="left" w:pos="720"/>
          <w:tab w:val="left" w:pos="9720"/>
        </w:tabs>
        <w:suppressAutoHyphens/>
        <w:ind w:firstLine="567"/>
        <w:textAlignment w:val="center"/>
        <w:rPr>
          <w:b/>
          <w:lang w:val="nl-NL"/>
        </w:rPr>
      </w:pPr>
      <w:r w:rsidRPr="00B57BD2">
        <w:rPr>
          <w:noProof/>
          <w:position w:val="-30"/>
          <w:lang w:eastAsia="lt-LT"/>
        </w:rPr>
        <w:drawing>
          <wp:inline distT="0" distB="0" distL="0" distR="0" wp14:anchorId="3E076C53" wp14:editId="44DD4265">
            <wp:extent cx="1638300" cy="523875"/>
            <wp:effectExtent l="0" t="0" r="0" b="9525"/>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8300" cy="523875"/>
                    </a:xfrm>
                    <a:prstGeom prst="rect">
                      <a:avLst/>
                    </a:prstGeom>
                    <a:noFill/>
                  </pic:spPr>
                </pic:pic>
              </a:graphicData>
            </a:graphic>
          </wp:inline>
        </w:drawing>
      </w:r>
      <w:r w:rsidR="002C3F58">
        <w:rPr>
          <w:color w:val="000000"/>
          <w:lang w:val="nl-NL"/>
        </w:rPr>
        <w:t xml:space="preserve">     (14)</w:t>
      </w:r>
    </w:p>
    <w:p w14:paraId="0DA54912" w14:textId="77777777" w:rsidR="00CA353F" w:rsidRDefault="002C3F58">
      <w:pPr>
        <w:suppressAutoHyphens/>
        <w:ind w:firstLine="567"/>
        <w:jc w:val="both"/>
        <w:textAlignment w:val="center"/>
      </w:pPr>
      <w:r>
        <w:t>čia</w:t>
      </w:r>
    </w:p>
    <w:p w14:paraId="0DA54913" w14:textId="77777777" w:rsidR="00CA353F" w:rsidRDefault="002C3F58">
      <w:pPr>
        <w:suppressAutoHyphens/>
        <w:ind w:firstLine="567"/>
        <w:jc w:val="both"/>
        <w:textAlignment w:val="center"/>
      </w:pPr>
      <w:r>
        <w:t>C</w:t>
      </w:r>
      <w:r>
        <w:rPr>
          <w:vertAlign w:val="subscript"/>
        </w:rPr>
        <w:t xml:space="preserve">v buit </w:t>
      </w:r>
      <w:r>
        <w:t xml:space="preserve"> – faktinė praėjusių metų atitinkamo laikotarpio vidutinė žemutinė dujų degimo šilumos vertė, kcal/m</w:t>
      </w:r>
      <w:r>
        <w:rPr>
          <w:vertAlign w:val="superscript"/>
        </w:rPr>
        <w:t>3</w:t>
      </w:r>
      <w:r>
        <w:t>;</w:t>
      </w:r>
    </w:p>
    <w:p w14:paraId="0DA54914" w14:textId="77777777" w:rsidR="00CA353F" w:rsidRDefault="002C3F58">
      <w:pPr>
        <w:suppressAutoHyphens/>
        <w:ind w:firstLine="567"/>
        <w:jc w:val="both"/>
        <w:textAlignment w:val="center"/>
      </w:pPr>
      <w:r>
        <w:t>C</w:t>
      </w:r>
      <w:r>
        <w:rPr>
          <w:vertAlign w:val="subscript"/>
        </w:rPr>
        <w:t>baz</w:t>
      </w:r>
      <w:r>
        <w:t> – bazinė žemutinė dujų degimo šilumos vertė lygi 7900 kcal/m</w:t>
      </w:r>
      <w:r>
        <w:rPr>
          <w:vertAlign w:val="superscript"/>
        </w:rPr>
        <w:t>3</w:t>
      </w:r>
      <w:r>
        <w:t>.</w:t>
      </w:r>
    </w:p>
    <w:p w14:paraId="0DA54915" w14:textId="77777777" w:rsidR="00CA353F" w:rsidRDefault="00B57BD2">
      <w:pPr>
        <w:suppressAutoHyphens/>
        <w:ind w:firstLine="567"/>
        <w:jc w:val="both"/>
        <w:textAlignment w:val="center"/>
      </w:pPr>
      <w:r w:rsidR="002C3F58">
        <w:t>57</w:t>
      </w:r>
      <w:r w:rsidR="002C3F58">
        <w:t>. Skirtumas tarp faktinės ir suskaičiuotos (prognozuotos) dujų pirkimo (importo) kainos, nustatant dujų tarifus buitiniams vartotojams, įvertinamas, perskaičiuojant dujų pirkimo (importo) kainą kitam pusmečiui pagal formulę:</w:t>
      </w:r>
    </w:p>
    <w:p w14:paraId="0DA54916" w14:textId="77777777" w:rsidR="00CA353F" w:rsidRDefault="00CA353F">
      <w:pPr>
        <w:suppressAutoHyphens/>
        <w:ind w:firstLine="567"/>
        <w:jc w:val="both"/>
        <w:textAlignment w:val="center"/>
        <w:rPr>
          <w:b/>
        </w:rPr>
      </w:pPr>
    </w:p>
    <w:p w14:paraId="0DA54917" w14:textId="15354092" w:rsidR="00CA353F" w:rsidRDefault="00B57BD2">
      <w:pPr>
        <w:ind w:firstLine="567"/>
        <w:rPr>
          <w:b/>
        </w:rPr>
      </w:pPr>
      <w:bookmarkStart w:id="0" w:name="_GoBack"/>
      <w:r w:rsidRPr="00B57BD2">
        <w:rPr>
          <w:noProof/>
          <w:lang w:eastAsia="lt-LT"/>
        </w:rPr>
        <w:drawing>
          <wp:inline distT="0" distB="0" distL="0" distR="0" wp14:anchorId="49756B86" wp14:editId="1C642E4B">
            <wp:extent cx="2238375" cy="247650"/>
            <wp:effectExtent l="0" t="0" r="0" b="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38375" cy="247650"/>
                    </a:xfrm>
                    <a:prstGeom prst="rect">
                      <a:avLst/>
                    </a:prstGeom>
                    <a:noFill/>
                  </pic:spPr>
                </pic:pic>
              </a:graphicData>
            </a:graphic>
          </wp:inline>
        </w:drawing>
      </w:r>
      <w:r w:rsidR="002C3F58">
        <w:rPr>
          <w:b/>
          <w:vanish/>
        </w:rPr>
        <w:t xml:space="preserve"> </w:t>
      </w:r>
      <w:r w:rsidR="002C3F58">
        <w:t>Lt/tūkst. m³,     (15)</w:t>
      </w:r>
    </w:p>
    <w:bookmarkEnd w:id="0"/>
    <w:p w14:paraId="0DA54918" w14:textId="77777777" w:rsidR="00CA353F" w:rsidRDefault="00CA353F">
      <w:pPr>
        <w:ind w:firstLine="567"/>
        <w:jc w:val="both"/>
        <w:rPr>
          <w:b/>
        </w:rPr>
      </w:pPr>
    </w:p>
    <w:p w14:paraId="0DA54919" w14:textId="77777777" w:rsidR="00CA353F" w:rsidRDefault="002C3F58">
      <w:pPr>
        <w:suppressAutoHyphens/>
        <w:ind w:firstLine="567"/>
        <w:jc w:val="both"/>
        <w:textAlignment w:val="center"/>
      </w:pPr>
      <w:r>
        <w:t>čia</w:t>
      </w:r>
    </w:p>
    <w:p w14:paraId="0DA5491A" w14:textId="77777777" w:rsidR="00CA353F" w:rsidRDefault="002C3F58">
      <w:pPr>
        <w:suppressAutoHyphens/>
        <w:ind w:firstLine="567"/>
        <w:jc w:val="both"/>
        <w:textAlignment w:val="center"/>
      </w:pPr>
      <w:r>
        <w:t>T</w:t>
      </w:r>
      <w:r>
        <w:rPr>
          <w:vertAlign w:val="subscript"/>
        </w:rPr>
        <w:t>GD buit (i+1)</w:t>
      </w:r>
      <w:r>
        <w:t> –  suskaičiuota dujų (produkto) kaina  būsimajam kainų nustatymo laikotarpiui buitiniams vartotojams, Lt/tūkst. m³;</w:t>
      </w:r>
    </w:p>
    <w:p w14:paraId="0DA5491B" w14:textId="77777777" w:rsidR="00CA353F" w:rsidRDefault="002C3F58">
      <w:pPr>
        <w:suppressAutoHyphens/>
        <w:ind w:firstLine="567"/>
        <w:jc w:val="both"/>
        <w:textAlignment w:val="center"/>
      </w:pPr>
      <w:r>
        <w:t>T</w:t>
      </w:r>
      <w:r>
        <w:rPr>
          <w:vertAlign w:val="subscript"/>
        </w:rPr>
        <w:t xml:space="preserve">GD buit  pr (i+1) </w:t>
      </w:r>
      <w:r>
        <w:t> – prognozuojama dujų importo kaina būsimajam kainų nustatymo laikotarpiui buitiniams vartotojams, Lt/tūkst. m³;</w:t>
      </w:r>
    </w:p>
    <w:p w14:paraId="0DA5491C" w14:textId="77777777" w:rsidR="00CA353F" w:rsidRDefault="002C3F58">
      <w:pPr>
        <w:suppressAutoHyphens/>
        <w:ind w:firstLine="567"/>
        <w:jc w:val="both"/>
        <w:textAlignment w:val="center"/>
      </w:pPr>
      <w:r>
        <w:t>?</w:t>
      </w:r>
      <w:r>
        <w:rPr>
          <w:vanish/>
        </w:rPr>
        <w:t>DELTA</w:t>
      </w:r>
      <w:r>
        <w:t>T</w:t>
      </w:r>
      <w:r>
        <w:rPr>
          <w:vertAlign w:val="subscript"/>
        </w:rPr>
        <w:t xml:space="preserve">GD buit </w:t>
      </w:r>
      <w:r>
        <w:t>– skirtumas tarp faktinės ir suskaičiuotos (prognozuotos) dujų pirkimo (importo) kainos buitiniams vartotojams, skaičiuojamas pagal formulę:</w:t>
      </w:r>
    </w:p>
    <w:p w14:paraId="0DA5491D" w14:textId="77777777" w:rsidR="00CA353F" w:rsidRDefault="00CA353F">
      <w:pPr>
        <w:suppressAutoHyphens/>
        <w:ind w:firstLine="567"/>
        <w:jc w:val="both"/>
        <w:textAlignment w:val="center"/>
        <w:rPr>
          <w:b/>
        </w:rPr>
      </w:pPr>
    </w:p>
    <w:p w14:paraId="0DA5491E" w14:textId="0C2454A7" w:rsidR="00CA353F" w:rsidRDefault="00B57BD2">
      <w:pPr>
        <w:ind w:firstLine="567"/>
      </w:pPr>
      <w:r w:rsidRPr="00B57BD2">
        <w:rPr>
          <w:noProof/>
          <w:lang w:eastAsia="lt-LT"/>
        </w:rPr>
        <w:drawing>
          <wp:inline distT="0" distB="0" distL="0" distR="0" wp14:anchorId="6C8984D0" wp14:editId="04DF5226">
            <wp:extent cx="3009265" cy="447675"/>
            <wp:effectExtent l="0" t="0" r="635" b="9525"/>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09265" cy="447675"/>
                    </a:xfrm>
                    <a:prstGeom prst="rect">
                      <a:avLst/>
                    </a:prstGeom>
                    <a:noFill/>
                  </pic:spPr>
                </pic:pic>
              </a:graphicData>
            </a:graphic>
          </wp:inline>
        </w:drawing>
      </w:r>
      <w:r w:rsidR="002C3F58">
        <w:rPr>
          <w:vanish/>
        </w:rPr>
        <w:t xml:space="preserve"> </w:t>
      </w:r>
      <w:r w:rsidR="002C3F58">
        <w:t>Lt/tūkst. m³,     (16)</w:t>
      </w:r>
    </w:p>
    <w:p w14:paraId="0DA5491F" w14:textId="77777777" w:rsidR="00CA353F" w:rsidRDefault="00CA353F">
      <w:pPr>
        <w:ind w:firstLine="567"/>
        <w:jc w:val="both"/>
        <w:rPr>
          <w:b/>
        </w:rPr>
      </w:pPr>
    </w:p>
    <w:p w14:paraId="0DA54920" w14:textId="77777777" w:rsidR="00CA353F" w:rsidRDefault="002C3F58">
      <w:pPr>
        <w:suppressAutoHyphens/>
        <w:ind w:firstLine="567"/>
        <w:jc w:val="both"/>
        <w:textAlignment w:val="center"/>
      </w:pPr>
      <w:r>
        <w:t>čia</w:t>
      </w:r>
    </w:p>
    <w:p w14:paraId="0DA54921" w14:textId="77777777" w:rsidR="00CA353F" w:rsidRDefault="002C3F58">
      <w:pPr>
        <w:suppressAutoHyphens/>
        <w:ind w:firstLine="567"/>
        <w:jc w:val="both"/>
        <w:textAlignment w:val="center"/>
      </w:pPr>
      <w:r>
        <w:t>T</w:t>
      </w:r>
      <w:r>
        <w:rPr>
          <w:vertAlign w:val="subscript"/>
        </w:rPr>
        <w:t xml:space="preserve">GD buit pr i </w:t>
      </w:r>
      <w:r>
        <w:t>– i-ojo pusmečio suskaičiuota (prognozuota) dujų pirkimo (importo) kaina buitiniams vartotojams, Lt/tūkst. m³;</w:t>
      </w:r>
    </w:p>
    <w:p w14:paraId="0DA54922" w14:textId="77777777" w:rsidR="00CA353F" w:rsidRDefault="002C3F58">
      <w:pPr>
        <w:suppressAutoHyphens/>
        <w:ind w:firstLine="567"/>
        <w:jc w:val="both"/>
        <w:textAlignment w:val="center"/>
      </w:pPr>
      <w:r>
        <w:t>Q</w:t>
      </w:r>
      <w:r>
        <w:rPr>
          <w:vertAlign w:val="subscript"/>
        </w:rPr>
        <w:t xml:space="preserve"> buit i </w:t>
      </w:r>
      <w:r>
        <w:t>– i-ojo pusmečio buitiniams vartotojams parduotas dujų kiekis, tūkst. m³;</w:t>
      </w:r>
    </w:p>
    <w:p w14:paraId="0DA54923" w14:textId="77777777" w:rsidR="00CA353F" w:rsidRDefault="002C3F58">
      <w:pPr>
        <w:suppressAutoHyphens/>
        <w:ind w:firstLine="567"/>
        <w:jc w:val="both"/>
        <w:textAlignment w:val="center"/>
      </w:pPr>
      <w:r>
        <w:t>T</w:t>
      </w:r>
      <w:r>
        <w:rPr>
          <w:vertAlign w:val="subscript"/>
        </w:rPr>
        <w:t>GD buit f i</w:t>
      </w:r>
      <w:r>
        <w:t> – i-ojo pusmečio faktinė dujų pirkimo (importo) kaina buitiniams vartotojams, Lt/tūkst. m³.</w:t>
      </w:r>
    </w:p>
    <w:p w14:paraId="0DA54924" w14:textId="77777777" w:rsidR="00CA353F" w:rsidRDefault="00B57BD2">
      <w:pPr>
        <w:keepLines/>
        <w:tabs>
          <w:tab w:val="left" w:pos="3240"/>
        </w:tabs>
        <w:suppressAutoHyphens/>
        <w:ind w:firstLine="567"/>
        <w:jc w:val="both"/>
        <w:textAlignment w:val="center"/>
        <w:rPr>
          <w:b/>
          <w:bCs/>
          <w:caps/>
        </w:rPr>
      </w:pPr>
    </w:p>
    <w:p w14:paraId="0DA54925" w14:textId="77777777" w:rsidR="00CA353F" w:rsidRDefault="00B57BD2">
      <w:pPr>
        <w:keepLines/>
        <w:tabs>
          <w:tab w:val="left" w:pos="3240"/>
        </w:tabs>
        <w:suppressAutoHyphens/>
        <w:jc w:val="center"/>
        <w:textAlignment w:val="center"/>
        <w:rPr>
          <w:b/>
          <w:bCs/>
          <w:caps/>
        </w:rPr>
      </w:pPr>
      <w:r w:rsidR="002C3F58">
        <w:rPr>
          <w:b/>
          <w:bCs/>
          <w:caps/>
        </w:rPr>
        <w:t>VIII</w:t>
      </w:r>
      <w:r w:rsidR="002C3F58">
        <w:rPr>
          <w:b/>
          <w:bCs/>
          <w:caps/>
        </w:rPr>
        <w:t xml:space="preserve">. </w:t>
      </w:r>
      <w:r w:rsidR="002C3F58">
        <w:rPr>
          <w:b/>
          <w:bCs/>
          <w:caps/>
        </w:rPr>
        <w:t>DUJŲ TIEKIMO KAINŲ DIFERENCIJAVIMAS</w:t>
      </w:r>
    </w:p>
    <w:p w14:paraId="0DA54926" w14:textId="77777777" w:rsidR="00CA353F" w:rsidRDefault="00CA353F">
      <w:pPr>
        <w:suppressAutoHyphens/>
        <w:ind w:firstLine="567"/>
        <w:jc w:val="both"/>
        <w:textAlignment w:val="center"/>
      </w:pPr>
    </w:p>
    <w:p w14:paraId="0DA54927" w14:textId="77777777" w:rsidR="00CA353F" w:rsidRDefault="00B57BD2">
      <w:pPr>
        <w:suppressAutoHyphens/>
        <w:ind w:firstLine="567"/>
        <w:jc w:val="both"/>
        <w:textAlignment w:val="center"/>
      </w:pPr>
      <w:r w:rsidR="002C3F58">
        <w:t>58</w:t>
      </w:r>
      <w:r w:rsidR="002C3F58">
        <w:t>. Dujų vartotojai pagal vartojimo paskirtį skirstomi į dvi grupes: buitiniai ir nebuitiniai vartotojai. Pagal faktiškai per metus į dujų pristatymo vietą patiektą gamtinių dujų kiekį vartotojai priskiriami tam tikram pogrupiui:</w:t>
      </w:r>
    </w:p>
    <w:p w14:paraId="0DA54928" w14:textId="77777777" w:rsidR="00CA353F" w:rsidRDefault="00B57BD2">
      <w:pPr>
        <w:suppressAutoHyphens/>
        <w:ind w:firstLine="567"/>
        <w:jc w:val="both"/>
        <w:textAlignment w:val="center"/>
      </w:pPr>
      <w:r w:rsidR="002C3F58">
        <w:t>58.1</w:t>
      </w:r>
      <w:r w:rsidR="002C3F58">
        <w:t>. buitinių vartotojų grupė pagal metinį suvartojamų dujų kiekį skirstoma į šiuos pogrupius:</w:t>
      </w:r>
    </w:p>
    <w:p w14:paraId="0DA54929" w14:textId="77777777" w:rsidR="00CA353F" w:rsidRDefault="00B57BD2">
      <w:pPr>
        <w:suppressAutoHyphens/>
        <w:ind w:firstLine="567"/>
        <w:jc w:val="both"/>
        <w:textAlignment w:val="center"/>
      </w:pPr>
      <w:r w:rsidR="002C3F58">
        <w:t>58.1.1</w:t>
      </w:r>
      <w:r w:rsidR="002C3F58">
        <w:t>. suvartojantys iki 500 m</w:t>
      </w:r>
      <w:r w:rsidR="002C3F58">
        <w:rPr>
          <w:vertAlign w:val="superscript"/>
        </w:rPr>
        <w:t>3</w:t>
      </w:r>
      <w:r w:rsidR="002C3F58">
        <w:t xml:space="preserve"> per metus;</w:t>
      </w:r>
    </w:p>
    <w:p w14:paraId="0DA5492A" w14:textId="77777777" w:rsidR="00CA353F" w:rsidRDefault="00B57BD2">
      <w:pPr>
        <w:suppressAutoHyphens/>
        <w:ind w:firstLine="567"/>
        <w:jc w:val="both"/>
        <w:textAlignment w:val="center"/>
      </w:pPr>
      <w:r w:rsidR="002C3F58">
        <w:t>58.1.2</w:t>
      </w:r>
      <w:r w:rsidR="002C3F58">
        <w:t>. suvartojantys nuo 500 m</w:t>
      </w:r>
      <w:r w:rsidR="002C3F58">
        <w:rPr>
          <w:vertAlign w:val="superscript"/>
        </w:rPr>
        <w:t>3</w:t>
      </w:r>
      <w:r w:rsidR="002C3F58">
        <w:t xml:space="preserve"> iki 20000 m</w:t>
      </w:r>
      <w:r w:rsidR="002C3F58">
        <w:rPr>
          <w:vertAlign w:val="superscript"/>
        </w:rPr>
        <w:t>3</w:t>
      </w:r>
      <w:r w:rsidR="002C3F58">
        <w:t xml:space="preserve"> per metus;</w:t>
      </w:r>
    </w:p>
    <w:p w14:paraId="0DA5492B" w14:textId="77777777" w:rsidR="00CA353F" w:rsidRDefault="00B57BD2">
      <w:pPr>
        <w:suppressAutoHyphens/>
        <w:ind w:firstLine="567"/>
        <w:jc w:val="both"/>
        <w:textAlignment w:val="center"/>
      </w:pPr>
      <w:r w:rsidR="002C3F58">
        <w:t>58.1.3</w:t>
      </w:r>
      <w:r w:rsidR="002C3F58">
        <w:t>. suvartojantys daugiau kaip 20000 m</w:t>
      </w:r>
      <w:r w:rsidR="002C3F58">
        <w:rPr>
          <w:vertAlign w:val="superscript"/>
        </w:rPr>
        <w:t>3</w:t>
      </w:r>
      <w:r w:rsidR="002C3F58">
        <w:t xml:space="preserve"> per metus.</w:t>
      </w:r>
    </w:p>
    <w:p w14:paraId="0DA5492C" w14:textId="77777777" w:rsidR="00CA353F" w:rsidRDefault="00B57BD2">
      <w:pPr>
        <w:suppressAutoHyphens/>
        <w:ind w:firstLine="567"/>
        <w:jc w:val="both"/>
        <w:textAlignment w:val="center"/>
      </w:pPr>
      <w:r w:rsidR="002C3F58">
        <w:t>59</w:t>
      </w:r>
      <w:r w:rsidR="002C3F58">
        <w:t>. Diferencijuojant dujų tiekimo kainas vartotojams, turi būti atskiriamos dujų tiekimo veiklos sąnaudos buitiniams ir nebuitiniams vartotojams.</w:t>
      </w:r>
    </w:p>
    <w:p w14:paraId="0DA5492D" w14:textId="77777777" w:rsidR="00CA353F" w:rsidRDefault="00B57BD2">
      <w:pPr>
        <w:suppressAutoHyphens/>
        <w:ind w:firstLine="567"/>
        <w:jc w:val="both"/>
        <w:textAlignment w:val="center"/>
      </w:pPr>
      <w:r w:rsidR="002C3F58">
        <w:t>60</w:t>
      </w:r>
      <w:r w:rsidR="002C3F58">
        <w:t>. Konkretūs dujų</w:t>
      </w:r>
      <w:r w:rsidR="002C3F58">
        <w:rPr>
          <w:b/>
        </w:rPr>
        <w:t xml:space="preserve"> </w:t>
      </w:r>
      <w:r w:rsidR="002C3F58">
        <w:t>tarifai buitiniams vartotojams skaičiuojami pagal dujų tiekimo kainų nustatymo metodikas. Šias metodikas parengia ir kartu su tarifų skaičiavimais Komisijai patvirtinti pateikia dujų įmonės.</w:t>
      </w:r>
    </w:p>
    <w:p w14:paraId="0DA5492E" w14:textId="77777777" w:rsidR="00CA353F" w:rsidRDefault="00B57BD2">
      <w:pPr>
        <w:suppressAutoHyphens/>
        <w:ind w:firstLine="567"/>
        <w:jc w:val="both"/>
        <w:textAlignment w:val="center"/>
      </w:pPr>
      <w:r w:rsidR="002C3F58">
        <w:t>61</w:t>
      </w:r>
      <w:r w:rsidR="002C3F58">
        <w:t xml:space="preserve">. Komisija, nustačiusi, kad dujų įmonių suskaičiuoti tarifai diskriminuoja vartotojus ir (ar) yra klaidingi, kryžmiškai subsidijuoja skirtingas veiklas ar vartotojų grupes, nurodo įmonėms jų klaidas. Įmonės privalo jas ištaisyti per 15 dienų. Jei dujų įmonė nevykdo Komisijos reikalavimo, Komisija vienašališkai nustato tarifus. </w:t>
      </w:r>
    </w:p>
    <w:p w14:paraId="0DA54930" w14:textId="3994E0C6" w:rsidR="00CA353F" w:rsidRDefault="00B57BD2" w:rsidP="00296F4A">
      <w:pPr>
        <w:tabs>
          <w:tab w:val="num" w:pos="1211"/>
        </w:tabs>
        <w:ind w:firstLine="567"/>
        <w:jc w:val="both"/>
      </w:pPr>
      <w:r w:rsidR="002C3F58">
        <w:t>62</w:t>
      </w:r>
      <w:r w:rsidR="002C3F58">
        <w:t>. Įsigaliojus Metodikai, iki naujų tiekimo kainų viršutinių ribų nustatymo ar koregavimo taikomi iki Metodikos įsigaliojimo nustatyti dujų  kiekio diferencijavimo principai.</w:t>
      </w:r>
    </w:p>
    <w:p w14:paraId="0DA54931" w14:textId="7AE3C470" w:rsidR="00CA353F" w:rsidRDefault="002C3F58">
      <w:pPr>
        <w:jc w:val="center"/>
      </w:pPr>
      <w:r>
        <w:t>_________________</w:t>
      </w:r>
    </w:p>
    <w:p w14:paraId="0DA54933" w14:textId="493445AF" w:rsidR="00CA353F" w:rsidRDefault="00CA353F">
      <w:pPr>
        <w:ind w:firstLine="567"/>
        <w:jc w:val="both"/>
      </w:pPr>
    </w:p>
    <w:p w14:paraId="0DA54934" w14:textId="1A4BC715" w:rsidR="00CA353F" w:rsidRDefault="00CA353F">
      <w:pPr>
        <w:ind w:firstLine="567"/>
        <w:jc w:val="both"/>
        <w:sectPr w:rsidR="00CA353F">
          <w:pgSz w:w="11907" w:h="16840" w:code="9"/>
          <w:pgMar w:top="1134" w:right="1134" w:bottom="1134" w:left="1701" w:header="567" w:footer="284" w:gutter="0"/>
          <w:cols w:space="1296"/>
          <w:docGrid w:linePitch="360"/>
        </w:sectPr>
      </w:pPr>
    </w:p>
    <w:p w14:paraId="0DA54935" w14:textId="0827FFC8" w:rsidR="00CA353F" w:rsidRDefault="002C3F58">
      <w:pPr>
        <w:tabs>
          <w:tab w:val="left" w:pos="868"/>
          <w:tab w:val="left" w:pos="7788"/>
          <w:tab w:val="left" w:pos="8748"/>
          <w:tab w:val="left" w:pos="9708"/>
          <w:tab w:val="left" w:pos="10668"/>
          <w:tab w:val="left" w:pos="11628"/>
          <w:tab w:val="left" w:pos="12588"/>
          <w:tab w:val="left" w:pos="13468"/>
          <w:tab w:val="left" w:pos="14428"/>
          <w:tab w:val="left" w:pos="15388"/>
          <w:tab w:val="left" w:pos="16348"/>
          <w:tab w:val="left" w:pos="17308"/>
          <w:tab w:val="left" w:pos="18268"/>
          <w:tab w:val="left" w:pos="19228"/>
        </w:tabs>
        <w:ind w:left="9120"/>
      </w:pPr>
      <w:r>
        <w:lastRenderedPageBreak/>
        <w:t>Gamtinių dujų tiekimo kainų</w:t>
      </w:r>
    </w:p>
    <w:p w14:paraId="0DA54936" w14:textId="77777777" w:rsidR="00CA353F" w:rsidRDefault="002C3F58">
      <w:pPr>
        <w:tabs>
          <w:tab w:val="left" w:pos="868"/>
          <w:tab w:val="left" w:pos="7788"/>
          <w:tab w:val="left" w:pos="8748"/>
          <w:tab w:val="left" w:pos="9708"/>
          <w:tab w:val="left" w:pos="10668"/>
          <w:tab w:val="left" w:pos="11628"/>
          <w:tab w:val="left" w:pos="12588"/>
          <w:tab w:val="left" w:pos="13468"/>
          <w:tab w:val="left" w:pos="14428"/>
          <w:tab w:val="left" w:pos="15388"/>
          <w:tab w:val="left" w:pos="16348"/>
          <w:tab w:val="left" w:pos="17308"/>
          <w:tab w:val="left" w:pos="18268"/>
          <w:tab w:val="left" w:pos="19228"/>
        </w:tabs>
        <w:ind w:left="9120"/>
      </w:pPr>
      <w:r>
        <w:t xml:space="preserve">viršutinių ribų skaičiavimo metodikos </w:t>
      </w:r>
    </w:p>
    <w:p w14:paraId="0DA54937" w14:textId="3D733BB5" w:rsidR="00CA353F" w:rsidRDefault="002C3F58">
      <w:pPr>
        <w:tabs>
          <w:tab w:val="left" w:pos="868"/>
          <w:tab w:val="left" w:pos="7788"/>
          <w:tab w:val="left" w:pos="8748"/>
          <w:tab w:val="left" w:pos="9708"/>
          <w:tab w:val="left" w:pos="10668"/>
          <w:tab w:val="left" w:pos="11628"/>
          <w:tab w:val="left" w:pos="12588"/>
          <w:tab w:val="left" w:pos="13468"/>
          <w:tab w:val="left" w:pos="14428"/>
          <w:tab w:val="left" w:pos="15388"/>
          <w:tab w:val="left" w:pos="16348"/>
          <w:tab w:val="left" w:pos="17308"/>
          <w:tab w:val="left" w:pos="18268"/>
          <w:tab w:val="left" w:pos="19228"/>
          <w:tab w:val="left" w:pos="22539"/>
          <w:tab w:val="left" w:pos="22815"/>
          <w:tab w:val="left" w:pos="23091"/>
        </w:tabs>
        <w:ind w:left="9120"/>
      </w:pPr>
      <w:r>
        <w:t>1 priedas</w:t>
      </w:r>
    </w:p>
    <w:p w14:paraId="0DA54938" w14:textId="77777777" w:rsidR="00CA353F" w:rsidRDefault="00CA353F">
      <w:pPr>
        <w:tabs>
          <w:tab w:val="left" w:pos="868"/>
          <w:tab w:val="left" w:pos="7788"/>
          <w:tab w:val="left" w:pos="8748"/>
          <w:tab w:val="left" w:pos="9708"/>
          <w:tab w:val="left" w:pos="10668"/>
          <w:tab w:val="left" w:pos="11628"/>
          <w:tab w:val="left" w:pos="12588"/>
          <w:tab w:val="left" w:pos="13468"/>
          <w:tab w:val="left" w:pos="14428"/>
          <w:tab w:val="left" w:pos="15388"/>
          <w:tab w:val="left" w:pos="16348"/>
          <w:tab w:val="left" w:pos="17308"/>
          <w:tab w:val="left" w:pos="18268"/>
          <w:tab w:val="left" w:pos="19228"/>
          <w:tab w:val="left" w:pos="22539"/>
          <w:tab w:val="left" w:pos="22815"/>
          <w:tab w:val="left" w:pos="23091"/>
        </w:tabs>
        <w:jc w:val="center"/>
      </w:pPr>
    </w:p>
    <w:p w14:paraId="0DA54939" w14:textId="42960D0F" w:rsidR="00CA353F" w:rsidRDefault="002C3F58">
      <w:pPr>
        <w:jc w:val="center"/>
        <w:rPr>
          <w:b/>
          <w:bCs/>
        </w:rPr>
      </w:pPr>
      <w:r>
        <w:rPr>
          <w:b/>
          <w:bCs/>
        </w:rPr>
        <w:t>(Gamtinių dujų tiekimo kainų viršutinių ribų skaičiavimo lentelės forma)</w:t>
      </w:r>
    </w:p>
    <w:p w14:paraId="0DA5493A" w14:textId="77777777" w:rsidR="00CA353F" w:rsidRDefault="002C3F58">
      <w:pPr>
        <w:tabs>
          <w:tab w:val="left" w:pos="868"/>
          <w:tab w:val="left" w:pos="7788"/>
          <w:tab w:val="left" w:pos="8748"/>
          <w:tab w:val="left" w:pos="9708"/>
          <w:tab w:val="left" w:pos="12588"/>
          <w:tab w:val="left" w:pos="13468"/>
          <w:tab w:val="left" w:pos="14428"/>
          <w:tab w:val="left" w:pos="15388"/>
          <w:tab w:val="left" w:pos="16348"/>
          <w:tab w:val="left" w:pos="17308"/>
          <w:tab w:val="left" w:pos="18268"/>
          <w:tab w:val="left" w:pos="19228"/>
          <w:tab w:val="left" w:pos="22539"/>
          <w:tab w:val="left" w:pos="22815"/>
          <w:tab w:val="left" w:pos="23091"/>
        </w:tabs>
        <w:jc w:val="center"/>
      </w:pPr>
      <w:r>
        <w:t>_______________________________</w:t>
      </w:r>
    </w:p>
    <w:p w14:paraId="0DA5493B" w14:textId="77777777" w:rsidR="00CA353F" w:rsidRDefault="002C3F58">
      <w:pPr>
        <w:tabs>
          <w:tab w:val="left" w:pos="868"/>
          <w:tab w:val="left" w:pos="7788"/>
          <w:tab w:val="left" w:pos="8748"/>
          <w:tab w:val="left" w:pos="9708"/>
          <w:tab w:val="left" w:pos="12588"/>
          <w:tab w:val="left" w:pos="13468"/>
          <w:tab w:val="left" w:pos="14428"/>
          <w:tab w:val="left" w:pos="15388"/>
          <w:tab w:val="left" w:pos="16348"/>
          <w:tab w:val="left" w:pos="17308"/>
          <w:tab w:val="left" w:pos="18268"/>
          <w:tab w:val="left" w:pos="19228"/>
          <w:tab w:val="left" w:pos="22539"/>
          <w:tab w:val="left" w:pos="22815"/>
          <w:tab w:val="left" w:pos="23091"/>
        </w:tabs>
        <w:jc w:val="center"/>
      </w:pPr>
      <w:r>
        <w:t>(įmonės pavadinimas)</w:t>
      </w:r>
    </w:p>
    <w:p w14:paraId="0DA5493C" w14:textId="77777777" w:rsidR="00CA353F" w:rsidRDefault="002C3F58">
      <w:pPr>
        <w:tabs>
          <w:tab w:val="left" w:pos="868"/>
          <w:tab w:val="left" w:pos="7788"/>
          <w:tab w:val="left" w:pos="8748"/>
          <w:tab w:val="left" w:pos="9708"/>
          <w:tab w:val="left" w:pos="12588"/>
          <w:tab w:val="left" w:pos="13468"/>
          <w:tab w:val="left" w:pos="14428"/>
          <w:tab w:val="left" w:pos="15388"/>
          <w:tab w:val="left" w:pos="16348"/>
          <w:tab w:val="left" w:pos="17308"/>
          <w:tab w:val="left" w:pos="18268"/>
          <w:tab w:val="left" w:pos="19228"/>
          <w:tab w:val="left" w:pos="22539"/>
          <w:tab w:val="left" w:pos="22815"/>
          <w:tab w:val="left" w:pos="23091"/>
        </w:tabs>
        <w:jc w:val="center"/>
      </w:pPr>
      <w:r>
        <w:t>_____________________________________</w:t>
      </w:r>
    </w:p>
    <w:p w14:paraId="0DA5493D" w14:textId="77777777" w:rsidR="00CA353F" w:rsidRDefault="002C3F58">
      <w:pPr>
        <w:jc w:val="center"/>
      </w:pPr>
      <w:r>
        <w:t>(įmonės teisinė forma, buveinės adresas, telefonas, faksas, el. paštas, registro, kuriame kaupiami ir saugomi duomenys, pavadinimas, įmonės kodas, PVM mokėtojo kodas)</w:t>
      </w:r>
    </w:p>
    <w:p w14:paraId="0DA5493E" w14:textId="77777777" w:rsidR="00CA353F" w:rsidRDefault="00CA353F">
      <w:pPr>
        <w:jc w:val="center"/>
      </w:pPr>
    </w:p>
    <w:p w14:paraId="0DA5493F" w14:textId="1FECE2C6" w:rsidR="00CA353F" w:rsidRDefault="002C3F58">
      <w:pPr>
        <w:jc w:val="center"/>
        <w:rPr>
          <w:b/>
          <w:bCs/>
        </w:rPr>
      </w:pPr>
      <w:r>
        <w:rPr>
          <w:b/>
          <w:bCs/>
        </w:rPr>
        <w:t>GAMTINIŲ DUJŲ TIEKIMO KAINŲ VIRŠUTINIŲ RIBŲ SKAIČIAVIMO LENTELĖ</w:t>
      </w:r>
    </w:p>
    <w:p w14:paraId="0DA54940" w14:textId="77777777" w:rsidR="00CA353F" w:rsidRDefault="00CA353F">
      <w:pPr>
        <w:jc w:val="center"/>
      </w:pPr>
    </w:p>
    <w:p w14:paraId="0DA54941" w14:textId="04EA76DF" w:rsidR="00CA353F" w:rsidRDefault="002C3F58">
      <w:pPr>
        <w:jc w:val="center"/>
      </w:pPr>
      <w:r>
        <w:t>20..... m. ............................. d. Nr.</w:t>
      </w:r>
    </w:p>
    <w:p w14:paraId="0DA54942" w14:textId="77777777" w:rsidR="00CA353F" w:rsidRDefault="002C3F58">
      <w:pPr>
        <w:tabs>
          <w:tab w:val="left" w:pos="868"/>
          <w:tab w:val="left" w:pos="7788"/>
          <w:tab w:val="left" w:pos="8748"/>
          <w:tab w:val="left" w:pos="9708"/>
          <w:tab w:val="left" w:pos="10668"/>
          <w:tab w:val="left" w:pos="11628"/>
          <w:tab w:val="left" w:pos="13468"/>
          <w:tab w:val="left" w:pos="14428"/>
          <w:tab w:val="left" w:pos="15388"/>
          <w:tab w:val="left" w:pos="16348"/>
          <w:tab w:val="left" w:pos="17308"/>
          <w:tab w:val="left" w:pos="18268"/>
          <w:tab w:val="left" w:pos="19228"/>
          <w:tab w:val="left" w:pos="22539"/>
          <w:tab w:val="left" w:pos="22815"/>
          <w:tab w:val="left" w:pos="23091"/>
        </w:tabs>
        <w:jc w:val="center"/>
      </w:pPr>
      <w:r>
        <w:t>___________________</w:t>
      </w:r>
    </w:p>
    <w:p w14:paraId="0DA54943" w14:textId="77777777" w:rsidR="00CA353F" w:rsidRDefault="002C3F58">
      <w:pPr>
        <w:tabs>
          <w:tab w:val="left" w:pos="868"/>
          <w:tab w:val="left" w:pos="7788"/>
          <w:tab w:val="left" w:pos="8748"/>
          <w:tab w:val="left" w:pos="9708"/>
          <w:tab w:val="left" w:pos="10668"/>
          <w:tab w:val="left" w:pos="11628"/>
          <w:tab w:val="left" w:pos="13468"/>
          <w:tab w:val="left" w:pos="14428"/>
          <w:tab w:val="left" w:pos="15388"/>
          <w:tab w:val="left" w:pos="16348"/>
          <w:tab w:val="left" w:pos="17308"/>
          <w:tab w:val="left" w:pos="18268"/>
          <w:tab w:val="left" w:pos="19228"/>
          <w:tab w:val="left" w:pos="22539"/>
          <w:tab w:val="left" w:pos="22815"/>
          <w:tab w:val="left" w:pos="23091"/>
        </w:tabs>
        <w:jc w:val="center"/>
      </w:pPr>
      <w:r>
        <w:t>(sudarymo vieta)</w:t>
      </w:r>
    </w:p>
    <w:p w14:paraId="0DA54944" w14:textId="77777777" w:rsidR="00CA353F" w:rsidRDefault="00CA353F">
      <w:pPr>
        <w:ind w:firstLine="567"/>
        <w:jc w:val="both"/>
      </w:pPr>
    </w:p>
    <w:tbl>
      <w:tblPr>
        <w:tblW w:w="14740" w:type="dxa"/>
        <w:tblLook w:val="0000" w:firstRow="0" w:lastRow="0" w:firstColumn="0" w:lastColumn="0" w:noHBand="0" w:noVBand="0"/>
      </w:tblPr>
      <w:tblGrid>
        <w:gridCol w:w="1105"/>
        <w:gridCol w:w="4209"/>
        <w:gridCol w:w="970"/>
        <w:gridCol w:w="1200"/>
        <w:gridCol w:w="1180"/>
        <w:gridCol w:w="1220"/>
        <w:gridCol w:w="1320"/>
        <w:gridCol w:w="1280"/>
        <w:gridCol w:w="1128"/>
        <w:gridCol w:w="1128"/>
      </w:tblGrid>
      <w:tr w:rsidR="00CA353F" w14:paraId="0DA54949" w14:textId="77777777">
        <w:trPr>
          <w:trHeight w:val="285"/>
          <w:tblHeader/>
        </w:trPr>
        <w:tc>
          <w:tcPr>
            <w:tcW w:w="118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0DA54945" w14:textId="77777777" w:rsidR="00CA353F" w:rsidRDefault="002C3F58">
            <w:pPr>
              <w:jc w:val="center"/>
            </w:pPr>
            <w:r>
              <w:t xml:space="preserve">Eil. Nr. </w:t>
            </w:r>
          </w:p>
        </w:tc>
        <w:tc>
          <w:tcPr>
            <w:tcW w:w="5315"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14:paraId="0DA54946" w14:textId="77777777" w:rsidR="00CA353F" w:rsidRDefault="002C3F58">
            <w:pPr>
              <w:jc w:val="center"/>
            </w:pPr>
            <w:r>
              <w:t>Rodikliai</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A54947" w14:textId="77777777" w:rsidR="00CA353F" w:rsidRDefault="002C3F58">
            <w:pPr>
              <w:jc w:val="center"/>
            </w:pPr>
            <w:r>
              <w:t>Mato vnt.</w:t>
            </w:r>
          </w:p>
        </w:tc>
        <w:tc>
          <w:tcPr>
            <w:tcW w:w="8840"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DA54948" w14:textId="77777777" w:rsidR="00CA353F" w:rsidRDefault="002C3F58">
            <w:pPr>
              <w:jc w:val="center"/>
            </w:pPr>
            <w:r>
              <w:t>Tiekimas</w:t>
            </w:r>
          </w:p>
        </w:tc>
      </w:tr>
      <w:tr w:rsidR="00CA353F" w14:paraId="0DA5494E" w14:textId="77777777">
        <w:trPr>
          <w:trHeight w:val="285"/>
          <w:tblHeader/>
        </w:trPr>
        <w:tc>
          <w:tcPr>
            <w:tcW w:w="1180" w:type="dxa"/>
            <w:vMerge/>
            <w:tcBorders>
              <w:top w:val="single" w:sz="8" w:space="0" w:color="auto"/>
              <w:left w:val="single" w:sz="8" w:space="0" w:color="auto"/>
              <w:bottom w:val="single" w:sz="8" w:space="0" w:color="000000"/>
              <w:right w:val="single" w:sz="4" w:space="0" w:color="auto"/>
            </w:tcBorders>
            <w:vAlign w:val="center"/>
          </w:tcPr>
          <w:p w14:paraId="0DA5494A" w14:textId="77777777" w:rsidR="00CA353F" w:rsidRDefault="00CA353F"/>
        </w:tc>
        <w:tc>
          <w:tcPr>
            <w:tcW w:w="5315" w:type="dxa"/>
            <w:vMerge/>
            <w:tcBorders>
              <w:top w:val="single" w:sz="8" w:space="0" w:color="auto"/>
              <w:left w:val="single" w:sz="4" w:space="0" w:color="auto"/>
              <w:bottom w:val="single" w:sz="8" w:space="0" w:color="000000"/>
              <w:right w:val="single" w:sz="8" w:space="0" w:color="auto"/>
            </w:tcBorders>
            <w:vAlign w:val="center"/>
          </w:tcPr>
          <w:p w14:paraId="0DA5494B" w14:textId="77777777" w:rsidR="00CA353F" w:rsidRDefault="00CA353F"/>
        </w:tc>
        <w:tc>
          <w:tcPr>
            <w:tcW w:w="970" w:type="dxa"/>
            <w:vMerge/>
            <w:tcBorders>
              <w:top w:val="single" w:sz="8" w:space="0" w:color="auto"/>
              <w:left w:val="single" w:sz="8" w:space="0" w:color="auto"/>
              <w:bottom w:val="single" w:sz="8" w:space="0" w:color="000000"/>
              <w:right w:val="single" w:sz="8" w:space="0" w:color="auto"/>
            </w:tcBorders>
            <w:vAlign w:val="center"/>
          </w:tcPr>
          <w:p w14:paraId="0DA5494C" w14:textId="77777777" w:rsidR="00CA353F" w:rsidRDefault="00CA353F"/>
        </w:tc>
        <w:tc>
          <w:tcPr>
            <w:tcW w:w="8840" w:type="dxa"/>
            <w:gridSpan w:val="7"/>
            <w:vMerge/>
            <w:tcBorders>
              <w:top w:val="single" w:sz="8" w:space="0" w:color="auto"/>
              <w:left w:val="single" w:sz="8" w:space="0" w:color="auto"/>
              <w:bottom w:val="single" w:sz="8" w:space="0" w:color="000000"/>
              <w:right w:val="single" w:sz="8" w:space="0" w:color="000000"/>
            </w:tcBorders>
            <w:vAlign w:val="center"/>
          </w:tcPr>
          <w:p w14:paraId="0DA5494D" w14:textId="77777777" w:rsidR="00CA353F" w:rsidRDefault="00CA353F"/>
        </w:tc>
      </w:tr>
      <w:tr w:rsidR="00CA353F" w14:paraId="0DA54959" w14:textId="77777777">
        <w:trPr>
          <w:trHeight w:val="300"/>
          <w:tblHeader/>
        </w:trPr>
        <w:tc>
          <w:tcPr>
            <w:tcW w:w="1180" w:type="dxa"/>
            <w:vMerge/>
            <w:tcBorders>
              <w:top w:val="single" w:sz="8" w:space="0" w:color="auto"/>
              <w:left w:val="single" w:sz="8" w:space="0" w:color="auto"/>
              <w:bottom w:val="single" w:sz="8" w:space="0" w:color="000000"/>
              <w:right w:val="single" w:sz="4" w:space="0" w:color="auto"/>
            </w:tcBorders>
            <w:vAlign w:val="center"/>
          </w:tcPr>
          <w:p w14:paraId="0DA5494F" w14:textId="77777777" w:rsidR="00CA353F" w:rsidRDefault="00CA353F"/>
        </w:tc>
        <w:tc>
          <w:tcPr>
            <w:tcW w:w="5315" w:type="dxa"/>
            <w:vMerge/>
            <w:tcBorders>
              <w:top w:val="single" w:sz="8" w:space="0" w:color="auto"/>
              <w:left w:val="single" w:sz="4" w:space="0" w:color="auto"/>
              <w:bottom w:val="single" w:sz="8" w:space="0" w:color="000000"/>
              <w:right w:val="single" w:sz="8" w:space="0" w:color="auto"/>
            </w:tcBorders>
            <w:vAlign w:val="center"/>
          </w:tcPr>
          <w:p w14:paraId="0DA54950" w14:textId="77777777" w:rsidR="00CA353F" w:rsidRDefault="00CA353F"/>
        </w:tc>
        <w:tc>
          <w:tcPr>
            <w:tcW w:w="970" w:type="dxa"/>
            <w:vMerge/>
            <w:tcBorders>
              <w:top w:val="single" w:sz="8" w:space="0" w:color="auto"/>
              <w:left w:val="single" w:sz="8" w:space="0" w:color="auto"/>
              <w:bottom w:val="single" w:sz="8" w:space="0" w:color="000000"/>
              <w:right w:val="single" w:sz="8" w:space="0" w:color="auto"/>
            </w:tcBorders>
            <w:vAlign w:val="center"/>
          </w:tcPr>
          <w:p w14:paraId="0DA54951" w14:textId="77777777" w:rsidR="00CA353F" w:rsidRDefault="00CA353F"/>
        </w:tc>
        <w:tc>
          <w:tcPr>
            <w:tcW w:w="1200" w:type="dxa"/>
            <w:tcBorders>
              <w:top w:val="nil"/>
              <w:left w:val="nil"/>
              <w:bottom w:val="single" w:sz="8" w:space="0" w:color="auto"/>
              <w:right w:val="single" w:sz="4" w:space="0" w:color="auto"/>
            </w:tcBorders>
            <w:shd w:val="clear" w:color="auto" w:fill="auto"/>
            <w:noWrap/>
            <w:vAlign w:val="center"/>
          </w:tcPr>
          <w:p w14:paraId="0DA54952" w14:textId="77777777" w:rsidR="00CA353F" w:rsidRDefault="002C3F58">
            <w:pPr>
              <w:jc w:val="center"/>
            </w:pPr>
            <w:r>
              <w:t>20__</w:t>
            </w:r>
          </w:p>
        </w:tc>
        <w:tc>
          <w:tcPr>
            <w:tcW w:w="1180" w:type="dxa"/>
            <w:tcBorders>
              <w:top w:val="nil"/>
              <w:left w:val="single" w:sz="8" w:space="0" w:color="auto"/>
              <w:bottom w:val="single" w:sz="8" w:space="0" w:color="auto"/>
              <w:right w:val="single" w:sz="4" w:space="0" w:color="auto"/>
            </w:tcBorders>
            <w:shd w:val="clear" w:color="auto" w:fill="auto"/>
            <w:noWrap/>
            <w:vAlign w:val="center"/>
          </w:tcPr>
          <w:p w14:paraId="0DA54953" w14:textId="77777777" w:rsidR="00CA353F" w:rsidRDefault="002C3F58">
            <w:pPr>
              <w:jc w:val="center"/>
            </w:pPr>
            <w:r>
              <w:t>20__</w:t>
            </w:r>
          </w:p>
        </w:tc>
        <w:tc>
          <w:tcPr>
            <w:tcW w:w="1220" w:type="dxa"/>
            <w:tcBorders>
              <w:top w:val="nil"/>
              <w:left w:val="single" w:sz="8" w:space="0" w:color="auto"/>
              <w:bottom w:val="single" w:sz="8" w:space="0" w:color="auto"/>
              <w:right w:val="single" w:sz="4" w:space="0" w:color="auto"/>
            </w:tcBorders>
            <w:shd w:val="clear" w:color="auto" w:fill="auto"/>
            <w:noWrap/>
            <w:vAlign w:val="center"/>
          </w:tcPr>
          <w:p w14:paraId="0DA54954" w14:textId="77777777" w:rsidR="00CA353F" w:rsidRDefault="002C3F58">
            <w:pPr>
              <w:jc w:val="center"/>
            </w:pPr>
            <w:r>
              <w:t>20__</w:t>
            </w:r>
          </w:p>
        </w:tc>
        <w:tc>
          <w:tcPr>
            <w:tcW w:w="1320" w:type="dxa"/>
            <w:tcBorders>
              <w:top w:val="nil"/>
              <w:left w:val="single" w:sz="8" w:space="0" w:color="auto"/>
              <w:bottom w:val="single" w:sz="8" w:space="0" w:color="auto"/>
              <w:right w:val="single" w:sz="4" w:space="0" w:color="auto"/>
            </w:tcBorders>
            <w:shd w:val="clear" w:color="auto" w:fill="auto"/>
            <w:noWrap/>
            <w:vAlign w:val="center"/>
          </w:tcPr>
          <w:p w14:paraId="0DA54955" w14:textId="77777777" w:rsidR="00CA353F" w:rsidRDefault="002C3F58">
            <w:pPr>
              <w:jc w:val="center"/>
            </w:pPr>
            <w:r>
              <w:t>20__</w:t>
            </w:r>
          </w:p>
        </w:tc>
        <w:tc>
          <w:tcPr>
            <w:tcW w:w="1280" w:type="dxa"/>
            <w:tcBorders>
              <w:top w:val="nil"/>
              <w:left w:val="single" w:sz="8" w:space="0" w:color="auto"/>
              <w:bottom w:val="single" w:sz="8" w:space="0" w:color="auto"/>
              <w:right w:val="nil"/>
            </w:tcBorders>
            <w:shd w:val="clear" w:color="auto" w:fill="auto"/>
            <w:noWrap/>
            <w:vAlign w:val="center"/>
          </w:tcPr>
          <w:p w14:paraId="0DA54956" w14:textId="77777777" w:rsidR="00CA353F" w:rsidRDefault="002C3F58">
            <w:pPr>
              <w:jc w:val="center"/>
            </w:pPr>
            <w:r>
              <w:t>20__</w:t>
            </w:r>
          </w:p>
        </w:tc>
        <w:tc>
          <w:tcPr>
            <w:tcW w:w="1320" w:type="dxa"/>
            <w:tcBorders>
              <w:top w:val="nil"/>
              <w:left w:val="single" w:sz="8" w:space="0" w:color="auto"/>
              <w:bottom w:val="single" w:sz="8" w:space="0" w:color="auto"/>
              <w:right w:val="single" w:sz="8" w:space="0" w:color="auto"/>
            </w:tcBorders>
            <w:shd w:val="clear" w:color="auto" w:fill="auto"/>
            <w:vAlign w:val="center"/>
          </w:tcPr>
          <w:p w14:paraId="0DA54957" w14:textId="77777777" w:rsidR="00CA353F" w:rsidRDefault="002C3F58">
            <w:pPr>
              <w:jc w:val="center"/>
            </w:pPr>
            <w:r>
              <w:t>20__</w:t>
            </w:r>
          </w:p>
        </w:tc>
        <w:tc>
          <w:tcPr>
            <w:tcW w:w="1320" w:type="dxa"/>
            <w:tcBorders>
              <w:top w:val="nil"/>
              <w:left w:val="nil"/>
              <w:bottom w:val="single" w:sz="8" w:space="0" w:color="auto"/>
              <w:right w:val="single" w:sz="8" w:space="0" w:color="auto"/>
            </w:tcBorders>
            <w:shd w:val="clear" w:color="auto" w:fill="auto"/>
            <w:vAlign w:val="center"/>
          </w:tcPr>
          <w:p w14:paraId="0DA54958" w14:textId="77777777" w:rsidR="00CA353F" w:rsidRDefault="002C3F58">
            <w:pPr>
              <w:jc w:val="center"/>
            </w:pPr>
            <w:r>
              <w:t>20__</w:t>
            </w:r>
          </w:p>
        </w:tc>
      </w:tr>
      <w:tr w:rsidR="00CA353F" w14:paraId="0DA54964" w14:textId="77777777">
        <w:trPr>
          <w:trHeight w:val="255"/>
          <w:tblHeader/>
        </w:trPr>
        <w:tc>
          <w:tcPr>
            <w:tcW w:w="1180" w:type="dxa"/>
            <w:tcBorders>
              <w:top w:val="nil"/>
              <w:left w:val="single" w:sz="8" w:space="0" w:color="auto"/>
              <w:bottom w:val="single" w:sz="8" w:space="0" w:color="auto"/>
              <w:right w:val="single" w:sz="4" w:space="0" w:color="auto"/>
            </w:tcBorders>
            <w:shd w:val="clear" w:color="auto" w:fill="auto"/>
            <w:vAlign w:val="center"/>
          </w:tcPr>
          <w:p w14:paraId="0DA5495A" w14:textId="77777777" w:rsidR="00CA353F" w:rsidRDefault="002C3F58">
            <w:pPr>
              <w:jc w:val="center"/>
            </w:pPr>
            <w:r>
              <w:t>1</w:t>
            </w:r>
          </w:p>
        </w:tc>
        <w:tc>
          <w:tcPr>
            <w:tcW w:w="5315" w:type="dxa"/>
            <w:tcBorders>
              <w:top w:val="nil"/>
              <w:left w:val="nil"/>
              <w:bottom w:val="single" w:sz="8" w:space="0" w:color="auto"/>
              <w:right w:val="single" w:sz="8" w:space="0" w:color="auto"/>
            </w:tcBorders>
            <w:shd w:val="clear" w:color="auto" w:fill="auto"/>
            <w:vAlign w:val="center"/>
          </w:tcPr>
          <w:p w14:paraId="0DA5495B" w14:textId="77777777" w:rsidR="00CA353F" w:rsidRDefault="002C3F58">
            <w:pPr>
              <w:jc w:val="center"/>
            </w:pPr>
            <w:r>
              <w:t>2</w:t>
            </w:r>
          </w:p>
        </w:tc>
        <w:tc>
          <w:tcPr>
            <w:tcW w:w="970" w:type="dxa"/>
            <w:tcBorders>
              <w:top w:val="nil"/>
              <w:left w:val="nil"/>
              <w:bottom w:val="single" w:sz="8" w:space="0" w:color="auto"/>
              <w:right w:val="nil"/>
            </w:tcBorders>
            <w:shd w:val="clear" w:color="auto" w:fill="auto"/>
            <w:vAlign w:val="bottom"/>
          </w:tcPr>
          <w:p w14:paraId="0DA5495C" w14:textId="77777777" w:rsidR="00CA353F" w:rsidRDefault="002C3F58">
            <w:pPr>
              <w:jc w:val="center"/>
            </w:pPr>
            <w:r>
              <w:t>3</w:t>
            </w:r>
          </w:p>
        </w:tc>
        <w:tc>
          <w:tcPr>
            <w:tcW w:w="1200" w:type="dxa"/>
            <w:tcBorders>
              <w:top w:val="nil"/>
              <w:left w:val="single" w:sz="8" w:space="0" w:color="auto"/>
              <w:bottom w:val="single" w:sz="8" w:space="0" w:color="auto"/>
              <w:right w:val="single" w:sz="4" w:space="0" w:color="auto"/>
            </w:tcBorders>
            <w:shd w:val="clear" w:color="auto" w:fill="auto"/>
          </w:tcPr>
          <w:p w14:paraId="0DA5495D" w14:textId="77777777" w:rsidR="00CA353F" w:rsidRDefault="002C3F58">
            <w:pPr>
              <w:jc w:val="center"/>
            </w:pPr>
            <w:r>
              <w:t>4</w:t>
            </w:r>
          </w:p>
        </w:tc>
        <w:tc>
          <w:tcPr>
            <w:tcW w:w="1180" w:type="dxa"/>
            <w:tcBorders>
              <w:top w:val="nil"/>
              <w:left w:val="nil"/>
              <w:bottom w:val="single" w:sz="8" w:space="0" w:color="auto"/>
              <w:right w:val="single" w:sz="4" w:space="0" w:color="auto"/>
            </w:tcBorders>
            <w:shd w:val="clear" w:color="auto" w:fill="auto"/>
          </w:tcPr>
          <w:p w14:paraId="0DA5495E" w14:textId="77777777" w:rsidR="00CA353F" w:rsidRDefault="002C3F58">
            <w:pPr>
              <w:jc w:val="center"/>
            </w:pPr>
            <w:r>
              <w:t>5</w:t>
            </w:r>
          </w:p>
        </w:tc>
        <w:tc>
          <w:tcPr>
            <w:tcW w:w="1220" w:type="dxa"/>
            <w:tcBorders>
              <w:top w:val="nil"/>
              <w:left w:val="nil"/>
              <w:bottom w:val="single" w:sz="8" w:space="0" w:color="auto"/>
              <w:right w:val="single" w:sz="4" w:space="0" w:color="auto"/>
            </w:tcBorders>
            <w:shd w:val="clear" w:color="auto" w:fill="auto"/>
          </w:tcPr>
          <w:p w14:paraId="0DA5495F" w14:textId="77777777" w:rsidR="00CA353F" w:rsidRDefault="002C3F58">
            <w:pPr>
              <w:jc w:val="center"/>
            </w:pPr>
            <w:r>
              <w:t>6</w:t>
            </w:r>
          </w:p>
        </w:tc>
        <w:tc>
          <w:tcPr>
            <w:tcW w:w="1320" w:type="dxa"/>
            <w:tcBorders>
              <w:top w:val="nil"/>
              <w:left w:val="nil"/>
              <w:bottom w:val="single" w:sz="8" w:space="0" w:color="auto"/>
              <w:right w:val="single" w:sz="4" w:space="0" w:color="auto"/>
            </w:tcBorders>
            <w:shd w:val="clear" w:color="auto" w:fill="auto"/>
          </w:tcPr>
          <w:p w14:paraId="0DA54960" w14:textId="77777777" w:rsidR="00CA353F" w:rsidRDefault="002C3F58">
            <w:pPr>
              <w:jc w:val="center"/>
            </w:pPr>
            <w:r>
              <w:t>7</w:t>
            </w:r>
          </w:p>
        </w:tc>
        <w:tc>
          <w:tcPr>
            <w:tcW w:w="1280" w:type="dxa"/>
            <w:tcBorders>
              <w:top w:val="nil"/>
              <w:left w:val="nil"/>
              <w:bottom w:val="single" w:sz="8" w:space="0" w:color="auto"/>
              <w:right w:val="nil"/>
            </w:tcBorders>
            <w:shd w:val="clear" w:color="auto" w:fill="auto"/>
          </w:tcPr>
          <w:p w14:paraId="0DA54961" w14:textId="77777777" w:rsidR="00CA353F" w:rsidRDefault="002C3F58">
            <w:pPr>
              <w:jc w:val="center"/>
            </w:pPr>
            <w:r>
              <w:t>8</w:t>
            </w:r>
          </w:p>
        </w:tc>
        <w:tc>
          <w:tcPr>
            <w:tcW w:w="1320" w:type="dxa"/>
            <w:tcBorders>
              <w:top w:val="nil"/>
              <w:left w:val="single" w:sz="4" w:space="0" w:color="auto"/>
              <w:bottom w:val="single" w:sz="8" w:space="0" w:color="auto"/>
              <w:right w:val="single" w:sz="4" w:space="0" w:color="auto"/>
            </w:tcBorders>
            <w:shd w:val="clear" w:color="auto" w:fill="auto"/>
          </w:tcPr>
          <w:p w14:paraId="0DA54962" w14:textId="77777777" w:rsidR="00CA353F" w:rsidRDefault="002C3F58">
            <w:pPr>
              <w:jc w:val="center"/>
            </w:pPr>
            <w:r>
              <w:t>9</w:t>
            </w:r>
          </w:p>
        </w:tc>
        <w:tc>
          <w:tcPr>
            <w:tcW w:w="1320" w:type="dxa"/>
            <w:tcBorders>
              <w:top w:val="nil"/>
              <w:left w:val="nil"/>
              <w:bottom w:val="single" w:sz="8" w:space="0" w:color="auto"/>
              <w:right w:val="single" w:sz="8" w:space="0" w:color="auto"/>
            </w:tcBorders>
            <w:shd w:val="clear" w:color="auto" w:fill="auto"/>
          </w:tcPr>
          <w:p w14:paraId="0DA54963" w14:textId="77777777" w:rsidR="00CA353F" w:rsidRDefault="002C3F58">
            <w:pPr>
              <w:jc w:val="center"/>
            </w:pPr>
            <w:r>
              <w:t>10</w:t>
            </w:r>
          </w:p>
        </w:tc>
      </w:tr>
      <w:tr w:rsidR="00CA353F" w14:paraId="0DA5496F" w14:textId="77777777">
        <w:trPr>
          <w:trHeight w:val="255"/>
        </w:trPr>
        <w:tc>
          <w:tcPr>
            <w:tcW w:w="1180" w:type="dxa"/>
            <w:vMerge w:val="restart"/>
            <w:tcBorders>
              <w:top w:val="nil"/>
              <w:left w:val="single" w:sz="8" w:space="0" w:color="auto"/>
              <w:bottom w:val="single" w:sz="4" w:space="0" w:color="000000"/>
              <w:right w:val="single" w:sz="4" w:space="0" w:color="auto"/>
            </w:tcBorders>
            <w:shd w:val="clear" w:color="auto" w:fill="auto"/>
          </w:tcPr>
          <w:p w14:paraId="0DA54965" w14:textId="77777777" w:rsidR="00CA353F" w:rsidRDefault="00CA353F">
            <w:pPr>
              <w:ind w:firstLine="60"/>
              <w:jc w:val="both"/>
            </w:pPr>
          </w:p>
        </w:tc>
        <w:tc>
          <w:tcPr>
            <w:tcW w:w="5315" w:type="dxa"/>
            <w:tcBorders>
              <w:top w:val="nil"/>
              <w:left w:val="nil"/>
              <w:bottom w:val="single" w:sz="4" w:space="0" w:color="auto"/>
              <w:right w:val="single" w:sz="8" w:space="0" w:color="auto"/>
            </w:tcBorders>
            <w:shd w:val="clear" w:color="auto" w:fill="auto"/>
          </w:tcPr>
          <w:p w14:paraId="0DA54966" w14:textId="77777777" w:rsidR="00CA353F" w:rsidRDefault="002C3F58">
            <w:pPr>
              <w:jc w:val="center"/>
            </w:pPr>
            <w:r>
              <w:t>PREKYBA</w:t>
            </w:r>
          </w:p>
        </w:tc>
        <w:tc>
          <w:tcPr>
            <w:tcW w:w="970" w:type="dxa"/>
            <w:tcBorders>
              <w:top w:val="nil"/>
              <w:left w:val="nil"/>
              <w:bottom w:val="single" w:sz="4" w:space="0" w:color="auto"/>
              <w:right w:val="nil"/>
            </w:tcBorders>
            <w:shd w:val="clear" w:color="auto" w:fill="auto"/>
          </w:tcPr>
          <w:p w14:paraId="0DA54967" w14:textId="77777777" w:rsidR="00CA353F" w:rsidRDefault="00CA353F">
            <w:pPr>
              <w:ind w:firstLine="60"/>
              <w:jc w:val="right"/>
            </w:pPr>
          </w:p>
        </w:tc>
        <w:tc>
          <w:tcPr>
            <w:tcW w:w="1200" w:type="dxa"/>
            <w:tcBorders>
              <w:top w:val="nil"/>
              <w:left w:val="single" w:sz="8" w:space="0" w:color="auto"/>
              <w:bottom w:val="single" w:sz="4" w:space="0" w:color="auto"/>
              <w:right w:val="single" w:sz="4" w:space="0" w:color="auto"/>
            </w:tcBorders>
            <w:shd w:val="clear" w:color="auto" w:fill="auto"/>
          </w:tcPr>
          <w:p w14:paraId="0DA54968" w14:textId="77777777" w:rsidR="00CA353F" w:rsidRDefault="00CA353F">
            <w:pPr>
              <w:ind w:firstLine="60"/>
              <w:jc w:val="right"/>
            </w:pPr>
          </w:p>
        </w:tc>
        <w:tc>
          <w:tcPr>
            <w:tcW w:w="1180" w:type="dxa"/>
            <w:tcBorders>
              <w:top w:val="nil"/>
              <w:left w:val="nil"/>
              <w:bottom w:val="single" w:sz="4" w:space="0" w:color="auto"/>
              <w:right w:val="single" w:sz="4" w:space="0" w:color="auto"/>
            </w:tcBorders>
            <w:shd w:val="clear" w:color="auto" w:fill="auto"/>
          </w:tcPr>
          <w:p w14:paraId="0DA54969" w14:textId="77777777" w:rsidR="00CA353F" w:rsidRDefault="00CA353F">
            <w:pPr>
              <w:ind w:firstLine="60"/>
              <w:jc w:val="right"/>
            </w:pPr>
          </w:p>
        </w:tc>
        <w:tc>
          <w:tcPr>
            <w:tcW w:w="1220" w:type="dxa"/>
            <w:tcBorders>
              <w:top w:val="nil"/>
              <w:left w:val="nil"/>
              <w:bottom w:val="single" w:sz="4" w:space="0" w:color="auto"/>
              <w:right w:val="single" w:sz="4" w:space="0" w:color="auto"/>
            </w:tcBorders>
            <w:shd w:val="clear" w:color="auto" w:fill="auto"/>
          </w:tcPr>
          <w:p w14:paraId="0DA5496A" w14:textId="77777777" w:rsidR="00CA353F" w:rsidRDefault="00CA353F">
            <w:pPr>
              <w:ind w:firstLine="60"/>
              <w:jc w:val="right"/>
            </w:pPr>
          </w:p>
        </w:tc>
        <w:tc>
          <w:tcPr>
            <w:tcW w:w="1320" w:type="dxa"/>
            <w:tcBorders>
              <w:top w:val="nil"/>
              <w:left w:val="nil"/>
              <w:bottom w:val="single" w:sz="4" w:space="0" w:color="auto"/>
              <w:right w:val="single" w:sz="4" w:space="0" w:color="auto"/>
            </w:tcBorders>
            <w:shd w:val="clear" w:color="auto" w:fill="auto"/>
          </w:tcPr>
          <w:p w14:paraId="0DA5496B" w14:textId="77777777" w:rsidR="00CA353F" w:rsidRDefault="00CA353F">
            <w:pPr>
              <w:ind w:firstLine="60"/>
              <w:jc w:val="right"/>
            </w:pPr>
          </w:p>
        </w:tc>
        <w:tc>
          <w:tcPr>
            <w:tcW w:w="1280" w:type="dxa"/>
            <w:tcBorders>
              <w:top w:val="nil"/>
              <w:left w:val="nil"/>
              <w:bottom w:val="single" w:sz="4" w:space="0" w:color="auto"/>
              <w:right w:val="nil"/>
            </w:tcBorders>
            <w:shd w:val="clear" w:color="auto" w:fill="auto"/>
          </w:tcPr>
          <w:p w14:paraId="0DA5496C" w14:textId="77777777" w:rsidR="00CA353F" w:rsidRDefault="00CA353F">
            <w:pPr>
              <w:ind w:firstLine="60"/>
              <w:jc w:val="right"/>
            </w:pPr>
          </w:p>
        </w:tc>
        <w:tc>
          <w:tcPr>
            <w:tcW w:w="1320" w:type="dxa"/>
            <w:tcBorders>
              <w:top w:val="nil"/>
              <w:left w:val="single" w:sz="4" w:space="0" w:color="auto"/>
              <w:bottom w:val="single" w:sz="4" w:space="0" w:color="auto"/>
              <w:right w:val="single" w:sz="4" w:space="0" w:color="auto"/>
            </w:tcBorders>
            <w:shd w:val="clear" w:color="auto" w:fill="auto"/>
          </w:tcPr>
          <w:p w14:paraId="0DA5496D"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96E" w14:textId="77777777" w:rsidR="00CA353F" w:rsidRDefault="00CA353F">
            <w:pPr>
              <w:ind w:firstLine="60"/>
              <w:jc w:val="right"/>
            </w:pPr>
          </w:p>
        </w:tc>
      </w:tr>
      <w:tr w:rsidR="00CA353F" w14:paraId="0DA5497A" w14:textId="77777777">
        <w:trPr>
          <w:trHeight w:val="255"/>
        </w:trPr>
        <w:tc>
          <w:tcPr>
            <w:tcW w:w="1180" w:type="dxa"/>
            <w:vMerge/>
            <w:tcBorders>
              <w:top w:val="nil"/>
              <w:left w:val="single" w:sz="8" w:space="0" w:color="auto"/>
              <w:bottom w:val="single" w:sz="4" w:space="0" w:color="000000"/>
              <w:right w:val="single" w:sz="4" w:space="0" w:color="auto"/>
            </w:tcBorders>
            <w:vAlign w:val="center"/>
          </w:tcPr>
          <w:p w14:paraId="0DA54970" w14:textId="77777777" w:rsidR="00CA353F" w:rsidRDefault="00CA353F"/>
        </w:tc>
        <w:tc>
          <w:tcPr>
            <w:tcW w:w="5315" w:type="dxa"/>
            <w:tcBorders>
              <w:top w:val="nil"/>
              <w:left w:val="nil"/>
              <w:bottom w:val="single" w:sz="4" w:space="0" w:color="auto"/>
              <w:right w:val="single" w:sz="8" w:space="0" w:color="auto"/>
            </w:tcBorders>
            <w:shd w:val="clear" w:color="auto" w:fill="auto"/>
          </w:tcPr>
          <w:p w14:paraId="0DA54971" w14:textId="77777777" w:rsidR="00CA353F" w:rsidRDefault="00CA353F">
            <w:pPr>
              <w:ind w:firstLine="60"/>
              <w:jc w:val="center"/>
            </w:pPr>
          </w:p>
        </w:tc>
        <w:tc>
          <w:tcPr>
            <w:tcW w:w="970" w:type="dxa"/>
            <w:tcBorders>
              <w:top w:val="nil"/>
              <w:left w:val="nil"/>
              <w:bottom w:val="single" w:sz="4" w:space="0" w:color="auto"/>
              <w:right w:val="nil"/>
            </w:tcBorders>
            <w:shd w:val="clear" w:color="auto" w:fill="auto"/>
          </w:tcPr>
          <w:p w14:paraId="0DA54972" w14:textId="77777777" w:rsidR="00CA353F" w:rsidRDefault="00CA353F">
            <w:pPr>
              <w:ind w:firstLine="60"/>
              <w:jc w:val="right"/>
            </w:pPr>
          </w:p>
        </w:tc>
        <w:tc>
          <w:tcPr>
            <w:tcW w:w="1200" w:type="dxa"/>
            <w:tcBorders>
              <w:top w:val="nil"/>
              <w:left w:val="single" w:sz="8" w:space="0" w:color="auto"/>
              <w:bottom w:val="single" w:sz="4" w:space="0" w:color="auto"/>
              <w:right w:val="single" w:sz="4" w:space="0" w:color="auto"/>
            </w:tcBorders>
            <w:shd w:val="clear" w:color="auto" w:fill="auto"/>
          </w:tcPr>
          <w:p w14:paraId="0DA54973" w14:textId="77777777" w:rsidR="00CA353F" w:rsidRDefault="00CA353F">
            <w:pPr>
              <w:ind w:firstLine="60"/>
              <w:jc w:val="right"/>
            </w:pPr>
          </w:p>
        </w:tc>
        <w:tc>
          <w:tcPr>
            <w:tcW w:w="1180" w:type="dxa"/>
            <w:tcBorders>
              <w:top w:val="nil"/>
              <w:left w:val="nil"/>
              <w:bottom w:val="single" w:sz="4" w:space="0" w:color="auto"/>
              <w:right w:val="single" w:sz="4" w:space="0" w:color="auto"/>
            </w:tcBorders>
            <w:shd w:val="clear" w:color="auto" w:fill="auto"/>
          </w:tcPr>
          <w:p w14:paraId="0DA54974" w14:textId="77777777" w:rsidR="00CA353F" w:rsidRDefault="00CA353F">
            <w:pPr>
              <w:ind w:firstLine="60"/>
              <w:jc w:val="right"/>
            </w:pPr>
          </w:p>
        </w:tc>
        <w:tc>
          <w:tcPr>
            <w:tcW w:w="1220" w:type="dxa"/>
            <w:tcBorders>
              <w:top w:val="nil"/>
              <w:left w:val="nil"/>
              <w:bottom w:val="single" w:sz="4" w:space="0" w:color="auto"/>
              <w:right w:val="single" w:sz="4" w:space="0" w:color="auto"/>
            </w:tcBorders>
            <w:shd w:val="clear" w:color="auto" w:fill="auto"/>
          </w:tcPr>
          <w:p w14:paraId="0DA54975" w14:textId="77777777" w:rsidR="00CA353F" w:rsidRDefault="00CA353F">
            <w:pPr>
              <w:ind w:firstLine="60"/>
              <w:jc w:val="right"/>
            </w:pPr>
          </w:p>
        </w:tc>
        <w:tc>
          <w:tcPr>
            <w:tcW w:w="1320" w:type="dxa"/>
            <w:tcBorders>
              <w:top w:val="nil"/>
              <w:left w:val="nil"/>
              <w:bottom w:val="single" w:sz="4" w:space="0" w:color="auto"/>
              <w:right w:val="single" w:sz="4" w:space="0" w:color="auto"/>
            </w:tcBorders>
            <w:shd w:val="clear" w:color="auto" w:fill="auto"/>
          </w:tcPr>
          <w:p w14:paraId="0DA54976" w14:textId="77777777" w:rsidR="00CA353F" w:rsidRDefault="00CA353F">
            <w:pPr>
              <w:ind w:firstLine="60"/>
              <w:jc w:val="right"/>
            </w:pPr>
          </w:p>
        </w:tc>
        <w:tc>
          <w:tcPr>
            <w:tcW w:w="1280" w:type="dxa"/>
            <w:tcBorders>
              <w:top w:val="nil"/>
              <w:left w:val="nil"/>
              <w:bottom w:val="single" w:sz="4" w:space="0" w:color="auto"/>
              <w:right w:val="nil"/>
            </w:tcBorders>
            <w:shd w:val="clear" w:color="auto" w:fill="auto"/>
          </w:tcPr>
          <w:p w14:paraId="0DA54977" w14:textId="77777777" w:rsidR="00CA353F" w:rsidRDefault="00CA353F">
            <w:pPr>
              <w:ind w:firstLine="60"/>
              <w:jc w:val="right"/>
            </w:pPr>
          </w:p>
        </w:tc>
        <w:tc>
          <w:tcPr>
            <w:tcW w:w="1320" w:type="dxa"/>
            <w:tcBorders>
              <w:top w:val="nil"/>
              <w:left w:val="single" w:sz="4" w:space="0" w:color="auto"/>
              <w:bottom w:val="single" w:sz="4" w:space="0" w:color="auto"/>
              <w:right w:val="single" w:sz="4" w:space="0" w:color="auto"/>
            </w:tcBorders>
            <w:shd w:val="clear" w:color="auto" w:fill="auto"/>
          </w:tcPr>
          <w:p w14:paraId="0DA54978"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979" w14:textId="77777777" w:rsidR="00CA353F" w:rsidRDefault="00CA353F">
            <w:pPr>
              <w:ind w:firstLine="60"/>
              <w:jc w:val="right"/>
            </w:pPr>
          </w:p>
        </w:tc>
      </w:tr>
      <w:tr w:rsidR="00CA353F" w14:paraId="0DA54985"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97B" w14:textId="77777777" w:rsidR="00CA353F" w:rsidRDefault="002C3F58">
            <w:pPr>
              <w:jc w:val="both"/>
            </w:pPr>
            <w:r>
              <w:t>1.</w:t>
            </w:r>
          </w:p>
        </w:tc>
        <w:tc>
          <w:tcPr>
            <w:tcW w:w="5315" w:type="dxa"/>
            <w:tcBorders>
              <w:top w:val="nil"/>
              <w:left w:val="nil"/>
              <w:bottom w:val="single" w:sz="4" w:space="0" w:color="auto"/>
              <w:right w:val="single" w:sz="8" w:space="0" w:color="auto"/>
            </w:tcBorders>
            <w:shd w:val="clear" w:color="auto" w:fill="auto"/>
          </w:tcPr>
          <w:p w14:paraId="0DA5497C" w14:textId="77777777" w:rsidR="00CA353F" w:rsidRDefault="002C3F58">
            <w:r>
              <w:t>Nupirkta gamtinių dujų, iš viso</w:t>
            </w:r>
          </w:p>
        </w:tc>
        <w:tc>
          <w:tcPr>
            <w:tcW w:w="970" w:type="dxa"/>
            <w:tcBorders>
              <w:top w:val="nil"/>
              <w:left w:val="nil"/>
              <w:bottom w:val="single" w:sz="4" w:space="0" w:color="auto"/>
              <w:right w:val="nil"/>
            </w:tcBorders>
            <w:shd w:val="clear" w:color="auto" w:fill="auto"/>
          </w:tcPr>
          <w:p w14:paraId="0DA5497D" w14:textId="77777777" w:rsidR="00CA353F" w:rsidRDefault="002C3F58">
            <w:pPr>
              <w:jc w:val="center"/>
            </w:pPr>
            <w:r>
              <w:t>tūkst. m</w:t>
            </w:r>
            <w:r>
              <w:rPr>
                <w:vertAlign w:val="superscript"/>
              </w:rPr>
              <w:t>3</w:t>
            </w:r>
          </w:p>
        </w:tc>
        <w:tc>
          <w:tcPr>
            <w:tcW w:w="1200" w:type="dxa"/>
            <w:tcBorders>
              <w:top w:val="nil"/>
              <w:left w:val="single" w:sz="8" w:space="0" w:color="auto"/>
              <w:bottom w:val="single" w:sz="4" w:space="0" w:color="auto"/>
              <w:right w:val="single" w:sz="4" w:space="0" w:color="auto"/>
            </w:tcBorders>
            <w:shd w:val="clear" w:color="auto" w:fill="auto"/>
          </w:tcPr>
          <w:p w14:paraId="0DA5497E" w14:textId="77777777" w:rsidR="00CA353F" w:rsidRDefault="00CA353F">
            <w:pPr>
              <w:ind w:firstLine="60"/>
              <w:jc w:val="right"/>
            </w:pPr>
          </w:p>
        </w:tc>
        <w:tc>
          <w:tcPr>
            <w:tcW w:w="1180" w:type="dxa"/>
            <w:tcBorders>
              <w:top w:val="nil"/>
              <w:left w:val="nil"/>
              <w:bottom w:val="single" w:sz="4" w:space="0" w:color="auto"/>
              <w:right w:val="single" w:sz="4" w:space="0" w:color="auto"/>
            </w:tcBorders>
            <w:shd w:val="clear" w:color="auto" w:fill="auto"/>
          </w:tcPr>
          <w:p w14:paraId="0DA5497F" w14:textId="77777777" w:rsidR="00CA353F" w:rsidRDefault="00CA353F">
            <w:pPr>
              <w:ind w:firstLine="60"/>
              <w:jc w:val="right"/>
            </w:pPr>
          </w:p>
        </w:tc>
        <w:tc>
          <w:tcPr>
            <w:tcW w:w="1220" w:type="dxa"/>
            <w:tcBorders>
              <w:top w:val="nil"/>
              <w:left w:val="nil"/>
              <w:bottom w:val="single" w:sz="4" w:space="0" w:color="auto"/>
              <w:right w:val="single" w:sz="4" w:space="0" w:color="auto"/>
            </w:tcBorders>
            <w:shd w:val="clear" w:color="auto" w:fill="auto"/>
          </w:tcPr>
          <w:p w14:paraId="0DA54980" w14:textId="77777777" w:rsidR="00CA353F" w:rsidRDefault="00CA353F">
            <w:pPr>
              <w:ind w:firstLine="60"/>
              <w:jc w:val="right"/>
            </w:pPr>
          </w:p>
        </w:tc>
        <w:tc>
          <w:tcPr>
            <w:tcW w:w="1320" w:type="dxa"/>
            <w:tcBorders>
              <w:top w:val="nil"/>
              <w:left w:val="nil"/>
              <w:bottom w:val="single" w:sz="4" w:space="0" w:color="auto"/>
              <w:right w:val="single" w:sz="4" w:space="0" w:color="auto"/>
            </w:tcBorders>
            <w:shd w:val="clear" w:color="auto" w:fill="auto"/>
          </w:tcPr>
          <w:p w14:paraId="0DA54981" w14:textId="77777777" w:rsidR="00CA353F" w:rsidRDefault="00CA353F">
            <w:pPr>
              <w:ind w:firstLine="60"/>
              <w:jc w:val="right"/>
            </w:pPr>
          </w:p>
        </w:tc>
        <w:tc>
          <w:tcPr>
            <w:tcW w:w="1280" w:type="dxa"/>
            <w:tcBorders>
              <w:top w:val="nil"/>
              <w:left w:val="nil"/>
              <w:bottom w:val="single" w:sz="4" w:space="0" w:color="auto"/>
              <w:right w:val="nil"/>
            </w:tcBorders>
            <w:shd w:val="clear" w:color="auto" w:fill="auto"/>
          </w:tcPr>
          <w:p w14:paraId="0DA54982" w14:textId="77777777" w:rsidR="00CA353F" w:rsidRDefault="00CA353F">
            <w:pPr>
              <w:ind w:firstLine="60"/>
              <w:jc w:val="right"/>
            </w:pPr>
          </w:p>
        </w:tc>
        <w:tc>
          <w:tcPr>
            <w:tcW w:w="1320" w:type="dxa"/>
            <w:tcBorders>
              <w:top w:val="nil"/>
              <w:left w:val="single" w:sz="4" w:space="0" w:color="auto"/>
              <w:bottom w:val="single" w:sz="4" w:space="0" w:color="auto"/>
              <w:right w:val="single" w:sz="4" w:space="0" w:color="auto"/>
            </w:tcBorders>
            <w:shd w:val="clear" w:color="auto" w:fill="auto"/>
          </w:tcPr>
          <w:p w14:paraId="0DA54983"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984" w14:textId="77777777" w:rsidR="00CA353F" w:rsidRDefault="00CA353F">
            <w:pPr>
              <w:ind w:firstLine="60"/>
              <w:jc w:val="right"/>
            </w:pPr>
          </w:p>
        </w:tc>
      </w:tr>
      <w:tr w:rsidR="00CA353F" w14:paraId="0DA54990"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986" w14:textId="77777777" w:rsidR="00CA353F" w:rsidRDefault="002C3F58">
            <w:pPr>
              <w:jc w:val="both"/>
            </w:pPr>
            <w:r>
              <w:t>1.1.</w:t>
            </w:r>
          </w:p>
        </w:tc>
        <w:tc>
          <w:tcPr>
            <w:tcW w:w="5315" w:type="dxa"/>
            <w:tcBorders>
              <w:top w:val="nil"/>
              <w:left w:val="nil"/>
              <w:bottom w:val="single" w:sz="4" w:space="0" w:color="auto"/>
              <w:right w:val="single" w:sz="8" w:space="0" w:color="auto"/>
            </w:tcBorders>
            <w:shd w:val="clear" w:color="auto" w:fill="auto"/>
          </w:tcPr>
          <w:p w14:paraId="0DA54987" w14:textId="77777777" w:rsidR="00CA353F" w:rsidRDefault="002C3F58">
            <w:r>
              <w:t>iš jų: iš AAB „Gazprom“</w:t>
            </w:r>
          </w:p>
        </w:tc>
        <w:tc>
          <w:tcPr>
            <w:tcW w:w="970" w:type="dxa"/>
            <w:tcBorders>
              <w:top w:val="nil"/>
              <w:left w:val="nil"/>
              <w:bottom w:val="single" w:sz="4" w:space="0" w:color="auto"/>
              <w:right w:val="nil"/>
            </w:tcBorders>
            <w:shd w:val="clear" w:color="auto" w:fill="auto"/>
          </w:tcPr>
          <w:p w14:paraId="0DA54988"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989" w14:textId="77777777" w:rsidR="00CA353F" w:rsidRDefault="00CA353F">
            <w:pPr>
              <w:ind w:firstLine="60"/>
              <w:jc w:val="right"/>
            </w:pPr>
          </w:p>
        </w:tc>
        <w:tc>
          <w:tcPr>
            <w:tcW w:w="1180" w:type="dxa"/>
            <w:tcBorders>
              <w:top w:val="nil"/>
              <w:left w:val="nil"/>
              <w:bottom w:val="single" w:sz="4" w:space="0" w:color="auto"/>
              <w:right w:val="single" w:sz="4" w:space="0" w:color="auto"/>
            </w:tcBorders>
            <w:shd w:val="clear" w:color="auto" w:fill="auto"/>
          </w:tcPr>
          <w:p w14:paraId="0DA5498A" w14:textId="77777777" w:rsidR="00CA353F" w:rsidRDefault="00CA353F">
            <w:pPr>
              <w:ind w:firstLine="60"/>
              <w:jc w:val="right"/>
            </w:pPr>
          </w:p>
        </w:tc>
        <w:tc>
          <w:tcPr>
            <w:tcW w:w="1220" w:type="dxa"/>
            <w:tcBorders>
              <w:top w:val="nil"/>
              <w:left w:val="nil"/>
              <w:bottom w:val="single" w:sz="4" w:space="0" w:color="auto"/>
              <w:right w:val="single" w:sz="4" w:space="0" w:color="auto"/>
            </w:tcBorders>
            <w:shd w:val="clear" w:color="auto" w:fill="auto"/>
          </w:tcPr>
          <w:p w14:paraId="0DA5498B" w14:textId="77777777" w:rsidR="00CA353F" w:rsidRDefault="00CA353F">
            <w:pPr>
              <w:ind w:firstLine="60"/>
              <w:jc w:val="right"/>
            </w:pPr>
          </w:p>
        </w:tc>
        <w:tc>
          <w:tcPr>
            <w:tcW w:w="1320" w:type="dxa"/>
            <w:tcBorders>
              <w:top w:val="nil"/>
              <w:left w:val="nil"/>
              <w:bottom w:val="single" w:sz="4" w:space="0" w:color="auto"/>
              <w:right w:val="single" w:sz="4" w:space="0" w:color="auto"/>
            </w:tcBorders>
            <w:shd w:val="clear" w:color="auto" w:fill="auto"/>
          </w:tcPr>
          <w:p w14:paraId="0DA5498C" w14:textId="77777777" w:rsidR="00CA353F" w:rsidRDefault="00CA353F">
            <w:pPr>
              <w:ind w:firstLine="60"/>
              <w:jc w:val="right"/>
            </w:pPr>
          </w:p>
        </w:tc>
        <w:tc>
          <w:tcPr>
            <w:tcW w:w="1280" w:type="dxa"/>
            <w:tcBorders>
              <w:top w:val="nil"/>
              <w:left w:val="nil"/>
              <w:bottom w:val="single" w:sz="4" w:space="0" w:color="auto"/>
              <w:right w:val="nil"/>
            </w:tcBorders>
            <w:shd w:val="clear" w:color="auto" w:fill="auto"/>
          </w:tcPr>
          <w:p w14:paraId="0DA5498D" w14:textId="77777777" w:rsidR="00CA353F" w:rsidRDefault="00CA353F">
            <w:pPr>
              <w:ind w:firstLine="60"/>
              <w:jc w:val="right"/>
            </w:pPr>
          </w:p>
        </w:tc>
        <w:tc>
          <w:tcPr>
            <w:tcW w:w="1320" w:type="dxa"/>
            <w:tcBorders>
              <w:top w:val="nil"/>
              <w:left w:val="single" w:sz="4" w:space="0" w:color="auto"/>
              <w:bottom w:val="single" w:sz="4" w:space="0" w:color="auto"/>
              <w:right w:val="single" w:sz="4" w:space="0" w:color="auto"/>
            </w:tcBorders>
            <w:shd w:val="clear" w:color="auto" w:fill="auto"/>
          </w:tcPr>
          <w:p w14:paraId="0DA5498E"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98F" w14:textId="77777777" w:rsidR="00CA353F" w:rsidRDefault="00CA353F">
            <w:pPr>
              <w:ind w:firstLine="60"/>
              <w:jc w:val="right"/>
            </w:pPr>
          </w:p>
        </w:tc>
      </w:tr>
      <w:tr w:rsidR="00CA353F" w14:paraId="0DA5499B"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991" w14:textId="77777777" w:rsidR="00CA353F" w:rsidRDefault="002C3F58">
            <w:pPr>
              <w:jc w:val="both"/>
            </w:pPr>
            <w:r>
              <w:t>1.2.</w:t>
            </w:r>
          </w:p>
        </w:tc>
        <w:tc>
          <w:tcPr>
            <w:tcW w:w="5315" w:type="dxa"/>
            <w:tcBorders>
              <w:top w:val="nil"/>
              <w:left w:val="nil"/>
              <w:bottom w:val="single" w:sz="4" w:space="0" w:color="auto"/>
              <w:right w:val="single" w:sz="8" w:space="0" w:color="auto"/>
            </w:tcBorders>
            <w:shd w:val="clear" w:color="auto" w:fill="auto"/>
          </w:tcPr>
          <w:p w14:paraId="0DA54992" w14:textId="77777777" w:rsidR="00CA353F" w:rsidRDefault="002C3F58">
            <w:pPr>
              <w:ind w:firstLine="567"/>
            </w:pPr>
            <w:r>
              <w:t xml:space="preserve">kiti </w:t>
            </w:r>
            <w:r>
              <w:rPr>
                <w:i/>
                <w:iCs/>
              </w:rPr>
              <w:t>(išvardinti)</w:t>
            </w:r>
          </w:p>
        </w:tc>
        <w:tc>
          <w:tcPr>
            <w:tcW w:w="970" w:type="dxa"/>
            <w:tcBorders>
              <w:top w:val="nil"/>
              <w:left w:val="nil"/>
              <w:bottom w:val="single" w:sz="4" w:space="0" w:color="auto"/>
              <w:right w:val="nil"/>
            </w:tcBorders>
            <w:shd w:val="clear" w:color="auto" w:fill="auto"/>
          </w:tcPr>
          <w:p w14:paraId="0DA54993"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994" w14:textId="77777777" w:rsidR="00CA353F" w:rsidRDefault="00CA353F">
            <w:pPr>
              <w:ind w:firstLine="60"/>
              <w:jc w:val="right"/>
            </w:pPr>
          </w:p>
        </w:tc>
        <w:tc>
          <w:tcPr>
            <w:tcW w:w="1180" w:type="dxa"/>
            <w:tcBorders>
              <w:top w:val="nil"/>
              <w:left w:val="nil"/>
              <w:bottom w:val="single" w:sz="4" w:space="0" w:color="auto"/>
              <w:right w:val="single" w:sz="4" w:space="0" w:color="auto"/>
            </w:tcBorders>
            <w:shd w:val="clear" w:color="auto" w:fill="auto"/>
          </w:tcPr>
          <w:p w14:paraId="0DA54995" w14:textId="77777777" w:rsidR="00CA353F" w:rsidRDefault="00CA353F">
            <w:pPr>
              <w:ind w:firstLine="60"/>
              <w:jc w:val="right"/>
            </w:pPr>
          </w:p>
        </w:tc>
        <w:tc>
          <w:tcPr>
            <w:tcW w:w="1220" w:type="dxa"/>
            <w:tcBorders>
              <w:top w:val="nil"/>
              <w:left w:val="nil"/>
              <w:bottom w:val="single" w:sz="4" w:space="0" w:color="auto"/>
              <w:right w:val="single" w:sz="4" w:space="0" w:color="auto"/>
            </w:tcBorders>
            <w:shd w:val="clear" w:color="auto" w:fill="auto"/>
          </w:tcPr>
          <w:p w14:paraId="0DA54996" w14:textId="77777777" w:rsidR="00CA353F" w:rsidRDefault="00CA353F">
            <w:pPr>
              <w:ind w:firstLine="60"/>
              <w:jc w:val="right"/>
            </w:pPr>
          </w:p>
        </w:tc>
        <w:tc>
          <w:tcPr>
            <w:tcW w:w="1320" w:type="dxa"/>
            <w:tcBorders>
              <w:top w:val="nil"/>
              <w:left w:val="nil"/>
              <w:bottom w:val="single" w:sz="4" w:space="0" w:color="auto"/>
              <w:right w:val="single" w:sz="4" w:space="0" w:color="auto"/>
            </w:tcBorders>
            <w:shd w:val="clear" w:color="auto" w:fill="auto"/>
          </w:tcPr>
          <w:p w14:paraId="0DA54997" w14:textId="77777777" w:rsidR="00CA353F" w:rsidRDefault="00CA353F">
            <w:pPr>
              <w:ind w:firstLine="60"/>
              <w:jc w:val="right"/>
            </w:pPr>
          </w:p>
        </w:tc>
        <w:tc>
          <w:tcPr>
            <w:tcW w:w="1280" w:type="dxa"/>
            <w:tcBorders>
              <w:top w:val="nil"/>
              <w:left w:val="nil"/>
              <w:bottom w:val="single" w:sz="4" w:space="0" w:color="auto"/>
              <w:right w:val="nil"/>
            </w:tcBorders>
            <w:shd w:val="clear" w:color="auto" w:fill="auto"/>
          </w:tcPr>
          <w:p w14:paraId="0DA54998" w14:textId="77777777" w:rsidR="00CA353F" w:rsidRDefault="00CA353F">
            <w:pPr>
              <w:ind w:firstLine="60"/>
              <w:jc w:val="right"/>
            </w:pPr>
          </w:p>
        </w:tc>
        <w:tc>
          <w:tcPr>
            <w:tcW w:w="1320" w:type="dxa"/>
            <w:tcBorders>
              <w:top w:val="nil"/>
              <w:left w:val="single" w:sz="4" w:space="0" w:color="auto"/>
              <w:bottom w:val="single" w:sz="4" w:space="0" w:color="auto"/>
              <w:right w:val="single" w:sz="4" w:space="0" w:color="auto"/>
            </w:tcBorders>
            <w:shd w:val="clear" w:color="auto" w:fill="auto"/>
          </w:tcPr>
          <w:p w14:paraId="0DA54999"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99A" w14:textId="77777777" w:rsidR="00CA353F" w:rsidRDefault="00CA353F">
            <w:pPr>
              <w:ind w:firstLine="60"/>
              <w:jc w:val="right"/>
            </w:pPr>
          </w:p>
        </w:tc>
      </w:tr>
      <w:tr w:rsidR="00CA353F" w14:paraId="0DA549A6"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99C" w14:textId="77777777" w:rsidR="00CA353F" w:rsidRDefault="002C3F58">
            <w:pPr>
              <w:jc w:val="both"/>
            </w:pPr>
            <w:r>
              <w:t>2.</w:t>
            </w:r>
          </w:p>
        </w:tc>
        <w:tc>
          <w:tcPr>
            <w:tcW w:w="5315" w:type="dxa"/>
            <w:tcBorders>
              <w:top w:val="nil"/>
              <w:left w:val="nil"/>
              <w:bottom w:val="single" w:sz="4" w:space="0" w:color="auto"/>
              <w:right w:val="single" w:sz="8" w:space="0" w:color="auto"/>
            </w:tcBorders>
            <w:shd w:val="clear" w:color="auto" w:fill="auto"/>
          </w:tcPr>
          <w:p w14:paraId="0DA5499D" w14:textId="77777777" w:rsidR="00CA353F" w:rsidRDefault="002C3F58">
            <w:r>
              <w:t>Dujų suvartojimas, iš viso</w:t>
            </w:r>
          </w:p>
        </w:tc>
        <w:tc>
          <w:tcPr>
            <w:tcW w:w="970" w:type="dxa"/>
            <w:tcBorders>
              <w:top w:val="nil"/>
              <w:left w:val="nil"/>
              <w:bottom w:val="single" w:sz="4" w:space="0" w:color="auto"/>
              <w:right w:val="nil"/>
            </w:tcBorders>
            <w:shd w:val="clear" w:color="auto" w:fill="auto"/>
          </w:tcPr>
          <w:p w14:paraId="0DA5499E"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99F" w14:textId="77777777" w:rsidR="00CA353F" w:rsidRDefault="00CA353F">
            <w:pPr>
              <w:ind w:firstLine="60"/>
              <w:jc w:val="right"/>
            </w:pPr>
          </w:p>
        </w:tc>
        <w:tc>
          <w:tcPr>
            <w:tcW w:w="1180" w:type="dxa"/>
            <w:tcBorders>
              <w:top w:val="nil"/>
              <w:left w:val="nil"/>
              <w:bottom w:val="single" w:sz="4" w:space="0" w:color="auto"/>
              <w:right w:val="single" w:sz="4" w:space="0" w:color="auto"/>
            </w:tcBorders>
            <w:shd w:val="clear" w:color="auto" w:fill="auto"/>
          </w:tcPr>
          <w:p w14:paraId="0DA549A0" w14:textId="77777777" w:rsidR="00CA353F" w:rsidRDefault="00CA353F">
            <w:pPr>
              <w:ind w:firstLine="60"/>
              <w:jc w:val="right"/>
            </w:pPr>
          </w:p>
        </w:tc>
        <w:tc>
          <w:tcPr>
            <w:tcW w:w="1220" w:type="dxa"/>
            <w:tcBorders>
              <w:top w:val="nil"/>
              <w:left w:val="nil"/>
              <w:bottom w:val="single" w:sz="4" w:space="0" w:color="auto"/>
              <w:right w:val="single" w:sz="4" w:space="0" w:color="auto"/>
            </w:tcBorders>
            <w:shd w:val="clear" w:color="auto" w:fill="auto"/>
          </w:tcPr>
          <w:p w14:paraId="0DA549A1" w14:textId="77777777" w:rsidR="00CA353F" w:rsidRDefault="00CA353F">
            <w:pPr>
              <w:ind w:firstLine="60"/>
              <w:jc w:val="right"/>
            </w:pPr>
          </w:p>
        </w:tc>
        <w:tc>
          <w:tcPr>
            <w:tcW w:w="1320" w:type="dxa"/>
            <w:tcBorders>
              <w:top w:val="nil"/>
              <w:left w:val="nil"/>
              <w:bottom w:val="single" w:sz="4" w:space="0" w:color="auto"/>
              <w:right w:val="single" w:sz="4" w:space="0" w:color="auto"/>
            </w:tcBorders>
            <w:shd w:val="clear" w:color="auto" w:fill="auto"/>
          </w:tcPr>
          <w:p w14:paraId="0DA549A2" w14:textId="77777777" w:rsidR="00CA353F" w:rsidRDefault="00CA353F">
            <w:pPr>
              <w:ind w:firstLine="60"/>
              <w:jc w:val="right"/>
            </w:pPr>
          </w:p>
        </w:tc>
        <w:tc>
          <w:tcPr>
            <w:tcW w:w="1280" w:type="dxa"/>
            <w:tcBorders>
              <w:top w:val="nil"/>
              <w:left w:val="nil"/>
              <w:bottom w:val="single" w:sz="4" w:space="0" w:color="auto"/>
              <w:right w:val="nil"/>
            </w:tcBorders>
            <w:shd w:val="clear" w:color="auto" w:fill="auto"/>
          </w:tcPr>
          <w:p w14:paraId="0DA549A3" w14:textId="77777777" w:rsidR="00CA353F" w:rsidRDefault="00CA353F">
            <w:pPr>
              <w:ind w:firstLine="60"/>
              <w:jc w:val="right"/>
            </w:pPr>
          </w:p>
        </w:tc>
        <w:tc>
          <w:tcPr>
            <w:tcW w:w="1320" w:type="dxa"/>
            <w:tcBorders>
              <w:top w:val="nil"/>
              <w:left w:val="single" w:sz="4" w:space="0" w:color="auto"/>
              <w:bottom w:val="single" w:sz="4" w:space="0" w:color="auto"/>
              <w:right w:val="single" w:sz="4" w:space="0" w:color="auto"/>
            </w:tcBorders>
            <w:shd w:val="clear" w:color="auto" w:fill="auto"/>
          </w:tcPr>
          <w:p w14:paraId="0DA549A4"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9A5" w14:textId="77777777" w:rsidR="00CA353F" w:rsidRDefault="00CA353F">
            <w:pPr>
              <w:ind w:firstLine="60"/>
              <w:jc w:val="right"/>
            </w:pPr>
          </w:p>
        </w:tc>
      </w:tr>
      <w:tr w:rsidR="00CA353F" w14:paraId="0DA549B1"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9A7" w14:textId="77777777" w:rsidR="00CA353F" w:rsidRDefault="002C3F58">
            <w:pPr>
              <w:jc w:val="both"/>
            </w:pPr>
            <w:r>
              <w:t>2.1.</w:t>
            </w:r>
          </w:p>
        </w:tc>
        <w:tc>
          <w:tcPr>
            <w:tcW w:w="5315" w:type="dxa"/>
            <w:tcBorders>
              <w:top w:val="nil"/>
              <w:left w:val="nil"/>
              <w:bottom w:val="single" w:sz="4" w:space="0" w:color="auto"/>
              <w:right w:val="single" w:sz="8" w:space="0" w:color="auto"/>
            </w:tcBorders>
            <w:shd w:val="clear" w:color="auto" w:fill="auto"/>
          </w:tcPr>
          <w:p w14:paraId="0DA549A8" w14:textId="77777777" w:rsidR="00CA353F" w:rsidRDefault="002C3F58">
            <w:r>
              <w:t>iš jų  buitiniams vartotojams</w:t>
            </w:r>
          </w:p>
        </w:tc>
        <w:tc>
          <w:tcPr>
            <w:tcW w:w="970" w:type="dxa"/>
            <w:tcBorders>
              <w:top w:val="nil"/>
              <w:left w:val="nil"/>
              <w:bottom w:val="single" w:sz="4" w:space="0" w:color="auto"/>
              <w:right w:val="nil"/>
            </w:tcBorders>
            <w:shd w:val="clear" w:color="auto" w:fill="auto"/>
          </w:tcPr>
          <w:p w14:paraId="0DA549A9"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9AA" w14:textId="77777777" w:rsidR="00CA353F" w:rsidRDefault="00CA353F">
            <w:pPr>
              <w:ind w:firstLine="60"/>
              <w:jc w:val="right"/>
            </w:pPr>
          </w:p>
        </w:tc>
        <w:tc>
          <w:tcPr>
            <w:tcW w:w="1180" w:type="dxa"/>
            <w:tcBorders>
              <w:top w:val="nil"/>
              <w:left w:val="nil"/>
              <w:bottom w:val="single" w:sz="4" w:space="0" w:color="auto"/>
              <w:right w:val="single" w:sz="4" w:space="0" w:color="auto"/>
            </w:tcBorders>
            <w:shd w:val="clear" w:color="auto" w:fill="auto"/>
          </w:tcPr>
          <w:p w14:paraId="0DA549AB" w14:textId="77777777" w:rsidR="00CA353F" w:rsidRDefault="00CA353F">
            <w:pPr>
              <w:ind w:firstLine="60"/>
              <w:jc w:val="right"/>
            </w:pPr>
          </w:p>
        </w:tc>
        <w:tc>
          <w:tcPr>
            <w:tcW w:w="1220" w:type="dxa"/>
            <w:tcBorders>
              <w:top w:val="nil"/>
              <w:left w:val="nil"/>
              <w:bottom w:val="single" w:sz="4" w:space="0" w:color="auto"/>
              <w:right w:val="single" w:sz="4" w:space="0" w:color="auto"/>
            </w:tcBorders>
            <w:shd w:val="clear" w:color="auto" w:fill="auto"/>
          </w:tcPr>
          <w:p w14:paraId="0DA549AC" w14:textId="77777777" w:rsidR="00CA353F" w:rsidRDefault="00CA353F">
            <w:pPr>
              <w:ind w:firstLine="60"/>
              <w:jc w:val="right"/>
            </w:pPr>
          </w:p>
        </w:tc>
        <w:tc>
          <w:tcPr>
            <w:tcW w:w="1320" w:type="dxa"/>
            <w:tcBorders>
              <w:top w:val="nil"/>
              <w:left w:val="nil"/>
              <w:bottom w:val="single" w:sz="4" w:space="0" w:color="auto"/>
              <w:right w:val="single" w:sz="4" w:space="0" w:color="auto"/>
            </w:tcBorders>
            <w:shd w:val="clear" w:color="auto" w:fill="auto"/>
          </w:tcPr>
          <w:p w14:paraId="0DA549AD" w14:textId="77777777" w:rsidR="00CA353F" w:rsidRDefault="00CA353F">
            <w:pPr>
              <w:ind w:firstLine="60"/>
              <w:jc w:val="right"/>
            </w:pPr>
          </w:p>
        </w:tc>
        <w:tc>
          <w:tcPr>
            <w:tcW w:w="1280" w:type="dxa"/>
            <w:tcBorders>
              <w:top w:val="nil"/>
              <w:left w:val="nil"/>
              <w:bottom w:val="single" w:sz="4" w:space="0" w:color="auto"/>
              <w:right w:val="nil"/>
            </w:tcBorders>
            <w:shd w:val="clear" w:color="auto" w:fill="auto"/>
          </w:tcPr>
          <w:p w14:paraId="0DA549AE" w14:textId="77777777" w:rsidR="00CA353F" w:rsidRDefault="00CA353F">
            <w:pPr>
              <w:ind w:firstLine="60"/>
              <w:jc w:val="right"/>
            </w:pPr>
          </w:p>
        </w:tc>
        <w:tc>
          <w:tcPr>
            <w:tcW w:w="1320" w:type="dxa"/>
            <w:tcBorders>
              <w:top w:val="nil"/>
              <w:left w:val="single" w:sz="4" w:space="0" w:color="auto"/>
              <w:bottom w:val="single" w:sz="4" w:space="0" w:color="auto"/>
              <w:right w:val="single" w:sz="4" w:space="0" w:color="auto"/>
            </w:tcBorders>
            <w:shd w:val="clear" w:color="auto" w:fill="auto"/>
          </w:tcPr>
          <w:p w14:paraId="0DA549AF"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9B0" w14:textId="77777777" w:rsidR="00CA353F" w:rsidRDefault="00CA353F">
            <w:pPr>
              <w:ind w:firstLine="60"/>
              <w:jc w:val="right"/>
            </w:pPr>
          </w:p>
        </w:tc>
      </w:tr>
      <w:tr w:rsidR="00CA353F" w14:paraId="0DA549BC"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9B2" w14:textId="77777777" w:rsidR="00CA353F" w:rsidRDefault="002C3F58">
            <w:pPr>
              <w:jc w:val="both"/>
            </w:pPr>
            <w:r>
              <w:t>2.1.1.</w:t>
            </w:r>
          </w:p>
        </w:tc>
        <w:tc>
          <w:tcPr>
            <w:tcW w:w="5315" w:type="dxa"/>
            <w:tcBorders>
              <w:top w:val="nil"/>
              <w:left w:val="nil"/>
              <w:bottom w:val="single" w:sz="4" w:space="0" w:color="auto"/>
              <w:right w:val="single" w:sz="8" w:space="0" w:color="auto"/>
            </w:tcBorders>
            <w:shd w:val="clear" w:color="auto" w:fill="auto"/>
          </w:tcPr>
          <w:p w14:paraId="0DA549B3" w14:textId="77777777" w:rsidR="00CA353F" w:rsidRDefault="002C3F58">
            <w:pPr>
              <w:ind w:firstLine="634"/>
              <w:rPr>
                <w:i/>
                <w:iCs/>
              </w:rPr>
            </w:pPr>
            <w:r>
              <w:rPr>
                <w:i/>
                <w:iCs/>
              </w:rPr>
              <w:t>(išvardinti pagal grupes)</w:t>
            </w:r>
          </w:p>
        </w:tc>
        <w:tc>
          <w:tcPr>
            <w:tcW w:w="970" w:type="dxa"/>
            <w:tcBorders>
              <w:top w:val="nil"/>
              <w:left w:val="nil"/>
              <w:bottom w:val="single" w:sz="4" w:space="0" w:color="auto"/>
              <w:right w:val="nil"/>
            </w:tcBorders>
            <w:shd w:val="clear" w:color="auto" w:fill="auto"/>
          </w:tcPr>
          <w:p w14:paraId="0DA549B4"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9B5" w14:textId="77777777" w:rsidR="00CA353F" w:rsidRDefault="00CA353F">
            <w:pPr>
              <w:ind w:firstLine="60"/>
              <w:jc w:val="right"/>
            </w:pPr>
          </w:p>
        </w:tc>
        <w:tc>
          <w:tcPr>
            <w:tcW w:w="1180" w:type="dxa"/>
            <w:tcBorders>
              <w:top w:val="nil"/>
              <w:left w:val="nil"/>
              <w:bottom w:val="single" w:sz="4" w:space="0" w:color="auto"/>
              <w:right w:val="single" w:sz="4" w:space="0" w:color="auto"/>
            </w:tcBorders>
            <w:shd w:val="clear" w:color="auto" w:fill="auto"/>
          </w:tcPr>
          <w:p w14:paraId="0DA549B6" w14:textId="77777777" w:rsidR="00CA353F" w:rsidRDefault="00CA353F">
            <w:pPr>
              <w:ind w:firstLine="60"/>
              <w:jc w:val="right"/>
            </w:pPr>
          </w:p>
        </w:tc>
        <w:tc>
          <w:tcPr>
            <w:tcW w:w="1220" w:type="dxa"/>
            <w:tcBorders>
              <w:top w:val="nil"/>
              <w:left w:val="nil"/>
              <w:bottom w:val="single" w:sz="4" w:space="0" w:color="auto"/>
              <w:right w:val="single" w:sz="4" w:space="0" w:color="auto"/>
            </w:tcBorders>
            <w:shd w:val="clear" w:color="auto" w:fill="auto"/>
          </w:tcPr>
          <w:p w14:paraId="0DA549B7" w14:textId="77777777" w:rsidR="00CA353F" w:rsidRDefault="00CA353F">
            <w:pPr>
              <w:ind w:firstLine="60"/>
              <w:jc w:val="right"/>
            </w:pPr>
          </w:p>
        </w:tc>
        <w:tc>
          <w:tcPr>
            <w:tcW w:w="1320" w:type="dxa"/>
            <w:tcBorders>
              <w:top w:val="nil"/>
              <w:left w:val="nil"/>
              <w:bottom w:val="single" w:sz="4" w:space="0" w:color="auto"/>
              <w:right w:val="single" w:sz="4" w:space="0" w:color="auto"/>
            </w:tcBorders>
            <w:shd w:val="clear" w:color="auto" w:fill="auto"/>
          </w:tcPr>
          <w:p w14:paraId="0DA549B8" w14:textId="77777777" w:rsidR="00CA353F" w:rsidRDefault="00CA353F">
            <w:pPr>
              <w:ind w:firstLine="60"/>
              <w:jc w:val="right"/>
            </w:pPr>
          </w:p>
        </w:tc>
        <w:tc>
          <w:tcPr>
            <w:tcW w:w="1280" w:type="dxa"/>
            <w:tcBorders>
              <w:top w:val="nil"/>
              <w:left w:val="nil"/>
              <w:bottom w:val="single" w:sz="4" w:space="0" w:color="auto"/>
              <w:right w:val="nil"/>
            </w:tcBorders>
            <w:shd w:val="clear" w:color="auto" w:fill="auto"/>
          </w:tcPr>
          <w:p w14:paraId="0DA549B9" w14:textId="77777777" w:rsidR="00CA353F" w:rsidRDefault="00CA353F">
            <w:pPr>
              <w:ind w:firstLine="60"/>
              <w:jc w:val="right"/>
            </w:pPr>
          </w:p>
        </w:tc>
        <w:tc>
          <w:tcPr>
            <w:tcW w:w="1320" w:type="dxa"/>
            <w:tcBorders>
              <w:top w:val="nil"/>
              <w:left w:val="single" w:sz="4" w:space="0" w:color="auto"/>
              <w:bottom w:val="single" w:sz="4" w:space="0" w:color="auto"/>
              <w:right w:val="single" w:sz="4" w:space="0" w:color="auto"/>
            </w:tcBorders>
            <w:shd w:val="clear" w:color="auto" w:fill="auto"/>
          </w:tcPr>
          <w:p w14:paraId="0DA549BA"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9BB" w14:textId="77777777" w:rsidR="00CA353F" w:rsidRDefault="00CA353F">
            <w:pPr>
              <w:ind w:firstLine="60"/>
              <w:jc w:val="right"/>
            </w:pPr>
          </w:p>
        </w:tc>
      </w:tr>
      <w:tr w:rsidR="00CA353F" w14:paraId="0DA549C7"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9BD" w14:textId="77777777" w:rsidR="00CA353F" w:rsidRDefault="002C3F58">
            <w:pPr>
              <w:jc w:val="both"/>
            </w:pPr>
            <w:r>
              <w:t>2.2.</w:t>
            </w:r>
          </w:p>
        </w:tc>
        <w:tc>
          <w:tcPr>
            <w:tcW w:w="5315" w:type="dxa"/>
            <w:tcBorders>
              <w:top w:val="nil"/>
              <w:left w:val="nil"/>
              <w:bottom w:val="single" w:sz="4" w:space="0" w:color="auto"/>
              <w:right w:val="single" w:sz="8" w:space="0" w:color="auto"/>
            </w:tcBorders>
            <w:shd w:val="clear" w:color="auto" w:fill="auto"/>
          </w:tcPr>
          <w:p w14:paraId="0DA549BE" w14:textId="77777777" w:rsidR="00CA353F" w:rsidRDefault="002C3F58">
            <w:pPr>
              <w:ind w:firstLine="567"/>
            </w:pPr>
            <w:r>
              <w:t>paskirtajam tiekimui</w:t>
            </w:r>
          </w:p>
        </w:tc>
        <w:tc>
          <w:tcPr>
            <w:tcW w:w="970" w:type="dxa"/>
            <w:tcBorders>
              <w:top w:val="nil"/>
              <w:left w:val="nil"/>
              <w:bottom w:val="single" w:sz="4" w:space="0" w:color="auto"/>
              <w:right w:val="nil"/>
            </w:tcBorders>
            <w:shd w:val="clear" w:color="auto" w:fill="auto"/>
          </w:tcPr>
          <w:p w14:paraId="0DA549BF"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9C0" w14:textId="77777777" w:rsidR="00CA353F" w:rsidRDefault="00CA353F">
            <w:pPr>
              <w:ind w:firstLine="60"/>
              <w:jc w:val="right"/>
            </w:pPr>
          </w:p>
        </w:tc>
        <w:tc>
          <w:tcPr>
            <w:tcW w:w="1180" w:type="dxa"/>
            <w:tcBorders>
              <w:top w:val="nil"/>
              <w:left w:val="nil"/>
              <w:bottom w:val="single" w:sz="4" w:space="0" w:color="auto"/>
              <w:right w:val="single" w:sz="4" w:space="0" w:color="auto"/>
            </w:tcBorders>
            <w:shd w:val="clear" w:color="auto" w:fill="auto"/>
          </w:tcPr>
          <w:p w14:paraId="0DA549C1" w14:textId="77777777" w:rsidR="00CA353F" w:rsidRDefault="00CA353F">
            <w:pPr>
              <w:ind w:firstLine="60"/>
              <w:jc w:val="right"/>
            </w:pPr>
          </w:p>
        </w:tc>
        <w:tc>
          <w:tcPr>
            <w:tcW w:w="1220" w:type="dxa"/>
            <w:tcBorders>
              <w:top w:val="nil"/>
              <w:left w:val="nil"/>
              <w:bottom w:val="single" w:sz="4" w:space="0" w:color="auto"/>
              <w:right w:val="single" w:sz="4" w:space="0" w:color="auto"/>
            </w:tcBorders>
            <w:shd w:val="clear" w:color="auto" w:fill="auto"/>
          </w:tcPr>
          <w:p w14:paraId="0DA549C2" w14:textId="77777777" w:rsidR="00CA353F" w:rsidRDefault="00CA353F">
            <w:pPr>
              <w:ind w:firstLine="60"/>
              <w:jc w:val="right"/>
            </w:pPr>
          </w:p>
        </w:tc>
        <w:tc>
          <w:tcPr>
            <w:tcW w:w="1320" w:type="dxa"/>
            <w:tcBorders>
              <w:top w:val="nil"/>
              <w:left w:val="nil"/>
              <w:bottom w:val="single" w:sz="4" w:space="0" w:color="auto"/>
              <w:right w:val="single" w:sz="4" w:space="0" w:color="auto"/>
            </w:tcBorders>
            <w:shd w:val="clear" w:color="auto" w:fill="auto"/>
          </w:tcPr>
          <w:p w14:paraId="0DA549C3" w14:textId="77777777" w:rsidR="00CA353F" w:rsidRDefault="00CA353F">
            <w:pPr>
              <w:ind w:firstLine="60"/>
              <w:jc w:val="right"/>
            </w:pPr>
          </w:p>
        </w:tc>
        <w:tc>
          <w:tcPr>
            <w:tcW w:w="1280" w:type="dxa"/>
            <w:tcBorders>
              <w:top w:val="nil"/>
              <w:left w:val="nil"/>
              <w:bottom w:val="single" w:sz="4" w:space="0" w:color="auto"/>
              <w:right w:val="nil"/>
            </w:tcBorders>
            <w:shd w:val="clear" w:color="auto" w:fill="auto"/>
          </w:tcPr>
          <w:p w14:paraId="0DA549C4" w14:textId="77777777" w:rsidR="00CA353F" w:rsidRDefault="00CA353F">
            <w:pPr>
              <w:ind w:firstLine="60"/>
              <w:jc w:val="right"/>
            </w:pPr>
          </w:p>
        </w:tc>
        <w:tc>
          <w:tcPr>
            <w:tcW w:w="1320" w:type="dxa"/>
            <w:tcBorders>
              <w:top w:val="nil"/>
              <w:left w:val="single" w:sz="4" w:space="0" w:color="auto"/>
              <w:bottom w:val="single" w:sz="4" w:space="0" w:color="auto"/>
              <w:right w:val="single" w:sz="4" w:space="0" w:color="auto"/>
            </w:tcBorders>
            <w:shd w:val="clear" w:color="auto" w:fill="auto"/>
          </w:tcPr>
          <w:p w14:paraId="0DA549C5"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9C6" w14:textId="77777777" w:rsidR="00CA353F" w:rsidRDefault="00CA353F">
            <w:pPr>
              <w:ind w:firstLine="60"/>
              <w:jc w:val="right"/>
            </w:pPr>
          </w:p>
        </w:tc>
      </w:tr>
      <w:tr w:rsidR="00CA353F" w14:paraId="0DA549D2"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9C8" w14:textId="77777777" w:rsidR="00CA353F" w:rsidRDefault="002C3F58">
            <w:pPr>
              <w:jc w:val="both"/>
            </w:pPr>
            <w:r>
              <w:lastRenderedPageBreak/>
              <w:t>2.3.</w:t>
            </w:r>
          </w:p>
        </w:tc>
        <w:tc>
          <w:tcPr>
            <w:tcW w:w="5315" w:type="dxa"/>
            <w:tcBorders>
              <w:top w:val="nil"/>
              <w:left w:val="nil"/>
              <w:bottom w:val="single" w:sz="4" w:space="0" w:color="auto"/>
              <w:right w:val="single" w:sz="8" w:space="0" w:color="auto"/>
            </w:tcBorders>
            <w:shd w:val="clear" w:color="auto" w:fill="auto"/>
          </w:tcPr>
          <w:p w14:paraId="0DA549C9" w14:textId="77777777" w:rsidR="00CA353F" w:rsidRDefault="002C3F58">
            <w:pPr>
              <w:ind w:firstLine="567"/>
            </w:pPr>
            <w:r>
              <w:t xml:space="preserve">nebuitiniams vartotojams </w:t>
            </w:r>
          </w:p>
        </w:tc>
        <w:tc>
          <w:tcPr>
            <w:tcW w:w="970" w:type="dxa"/>
            <w:tcBorders>
              <w:top w:val="nil"/>
              <w:left w:val="nil"/>
              <w:bottom w:val="single" w:sz="4" w:space="0" w:color="auto"/>
              <w:right w:val="nil"/>
            </w:tcBorders>
            <w:shd w:val="clear" w:color="auto" w:fill="auto"/>
          </w:tcPr>
          <w:p w14:paraId="0DA549CA"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9CB" w14:textId="77777777" w:rsidR="00CA353F" w:rsidRDefault="00CA353F">
            <w:pPr>
              <w:ind w:firstLine="60"/>
              <w:jc w:val="right"/>
            </w:pPr>
          </w:p>
        </w:tc>
        <w:tc>
          <w:tcPr>
            <w:tcW w:w="1180" w:type="dxa"/>
            <w:tcBorders>
              <w:top w:val="nil"/>
              <w:left w:val="nil"/>
              <w:bottom w:val="single" w:sz="4" w:space="0" w:color="auto"/>
              <w:right w:val="single" w:sz="4" w:space="0" w:color="auto"/>
            </w:tcBorders>
            <w:shd w:val="clear" w:color="auto" w:fill="auto"/>
          </w:tcPr>
          <w:p w14:paraId="0DA549CC" w14:textId="77777777" w:rsidR="00CA353F" w:rsidRDefault="00CA353F">
            <w:pPr>
              <w:ind w:firstLine="60"/>
              <w:jc w:val="right"/>
            </w:pPr>
          </w:p>
        </w:tc>
        <w:tc>
          <w:tcPr>
            <w:tcW w:w="1220" w:type="dxa"/>
            <w:tcBorders>
              <w:top w:val="nil"/>
              <w:left w:val="nil"/>
              <w:bottom w:val="single" w:sz="4" w:space="0" w:color="auto"/>
              <w:right w:val="single" w:sz="4" w:space="0" w:color="auto"/>
            </w:tcBorders>
            <w:shd w:val="clear" w:color="auto" w:fill="auto"/>
          </w:tcPr>
          <w:p w14:paraId="0DA549CD" w14:textId="77777777" w:rsidR="00CA353F" w:rsidRDefault="00CA353F">
            <w:pPr>
              <w:ind w:firstLine="60"/>
              <w:jc w:val="right"/>
            </w:pPr>
          </w:p>
        </w:tc>
        <w:tc>
          <w:tcPr>
            <w:tcW w:w="1320" w:type="dxa"/>
            <w:tcBorders>
              <w:top w:val="nil"/>
              <w:left w:val="nil"/>
              <w:bottom w:val="single" w:sz="4" w:space="0" w:color="auto"/>
              <w:right w:val="single" w:sz="4" w:space="0" w:color="auto"/>
            </w:tcBorders>
            <w:shd w:val="clear" w:color="auto" w:fill="auto"/>
          </w:tcPr>
          <w:p w14:paraId="0DA549CE" w14:textId="77777777" w:rsidR="00CA353F" w:rsidRDefault="00CA353F">
            <w:pPr>
              <w:ind w:firstLine="60"/>
              <w:jc w:val="right"/>
            </w:pPr>
          </w:p>
        </w:tc>
        <w:tc>
          <w:tcPr>
            <w:tcW w:w="1280" w:type="dxa"/>
            <w:tcBorders>
              <w:top w:val="nil"/>
              <w:left w:val="nil"/>
              <w:bottom w:val="single" w:sz="4" w:space="0" w:color="auto"/>
              <w:right w:val="nil"/>
            </w:tcBorders>
            <w:shd w:val="clear" w:color="auto" w:fill="auto"/>
          </w:tcPr>
          <w:p w14:paraId="0DA549CF" w14:textId="77777777" w:rsidR="00CA353F" w:rsidRDefault="00CA353F">
            <w:pPr>
              <w:ind w:firstLine="60"/>
              <w:jc w:val="right"/>
            </w:pPr>
          </w:p>
        </w:tc>
        <w:tc>
          <w:tcPr>
            <w:tcW w:w="1320" w:type="dxa"/>
            <w:tcBorders>
              <w:top w:val="nil"/>
              <w:left w:val="single" w:sz="4" w:space="0" w:color="auto"/>
              <w:bottom w:val="single" w:sz="4" w:space="0" w:color="auto"/>
              <w:right w:val="single" w:sz="4" w:space="0" w:color="auto"/>
            </w:tcBorders>
            <w:shd w:val="clear" w:color="auto" w:fill="auto"/>
          </w:tcPr>
          <w:p w14:paraId="0DA549D0"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9D1" w14:textId="77777777" w:rsidR="00CA353F" w:rsidRDefault="00CA353F">
            <w:pPr>
              <w:ind w:firstLine="60"/>
              <w:jc w:val="right"/>
            </w:pPr>
          </w:p>
        </w:tc>
      </w:tr>
      <w:tr w:rsidR="00CA353F" w14:paraId="0DA549DD"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9D3" w14:textId="77777777" w:rsidR="00CA353F" w:rsidRDefault="002C3F58">
            <w:pPr>
              <w:jc w:val="both"/>
            </w:pPr>
            <w:r>
              <w:t>2.3.1.</w:t>
            </w:r>
          </w:p>
        </w:tc>
        <w:tc>
          <w:tcPr>
            <w:tcW w:w="5315" w:type="dxa"/>
            <w:tcBorders>
              <w:top w:val="nil"/>
              <w:left w:val="nil"/>
              <w:bottom w:val="single" w:sz="4" w:space="0" w:color="auto"/>
              <w:right w:val="single" w:sz="8" w:space="0" w:color="auto"/>
            </w:tcBorders>
            <w:shd w:val="clear" w:color="auto" w:fill="auto"/>
          </w:tcPr>
          <w:p w14:paraId="0DA549D4" w14:textId="77777777" w:rsidR="00CA353F" w:rsidRDefault="002C3F58">
            <w:pPr>
              <w:ind w:firstLine="634"/>
              <w:rPr>
                <w:i/>
                <w:iCs/>
              </w:rPr>
            </w:pPr>
            <w:r>
              <w:rPr>
                <w:i/>
                <w:iCs/>
              </w:rPr>
              <w:t>(išvardinti pagal grupes)</w:t>
            </w:r>
          </w:p>
        </w:tc>
        <w:tc>
          <w:tcPr>
            <w:tcW w:w="970" w:type="dxa"/>
            <w:tcBorders>
              <w:top w:val="nil"/>
              <w:left w:val="nil"/>
              <w:bottom w:val="single" w:sz="4" w:space="0" w:color="auto"/>
              <w:right w:val="nil"/>
            </w:tcBorders>
            <w:shd w:val="clear" w:color="auto" w:fill="auto"/>
          </w:tcPr>
          <w:p w14:paraId="0DA549D5"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9D6" w14:textId="77777777" w:rsidR="00CA353F" w:rsidRDefault="00CA353F">
            <w:pPr>
              <w:ind w:firstLine="60"/>
              <w:jc w:val="right"/>
            </w:pPr>
          </w:p>
        </w:tc>
        <w:tc>
          <w:tcPr>
            <w:tcW w:w="1180" w:type="dxa"/>
            <w:tcBorders>
              <w:top w:val="nil"/>
              <w:left w:val="nil"/>
              <w:bottom w:val="single" w:sz="4" w:space="0" w:color="auto"/>
              <w:right w:val="single" w:sz="4" w:space="0" w:color="auto"/>
            </w:tcBorders>
            <w:shd w:val="clear" w:color="auto" w:fill="auto"/>
          </w:tcPr>
          <w:p w14:paraId="0DA549D7" w14:textId="77777777" w:rsidR="00CA353F" w:rsidRDefault="00CA353F">
            <w:pPr>
              <w:ind w:firstLine="60"/>
              <w:jc w:val="right"/>
            </w:pPr>
          </w:p>
        </w:tc>
        <w:tc>
          <w:tcPr>
            <w:tcW w:w="1220" w:type="dxa"/>
            <w:tcBorders>
              <w:top w:val="nil"/>
              <w:left w:val="nil"/>
              <w:bottom w:val="single" w:sz="4" w:space="0" w:color="auto"/>
              <w:right w:val="single" w:sz="4" w:space="0" w:color="auto"/>
            </w:tcBorders>
            <w:shd w:val="clear" w:color="auto" w:fill="auto"/>
          </w:tcPr>
          <w:p w14:paraId="0DA549D8" w14:textId="77777777" w:rsidR="00CA353F" w:rsidRDefault="00CA353F">
            <w:pPr>
              <w:ind w:firstLine="60"/>
              <w:jc w:val="right"/>
            </w:pPr>
          </w:p>
        </w:tc>
        <w:tc>
          <w:tcPr>
            <w:tcW w:w="1320" w:type="dxa"/>
            <w:tcBorders>
              <w:top w:val="nil"/>
              <w:left w:val="nil"/>
              <w:bottom w:val="single" w:sz="4" w:space="0" w:color="auto"/>
              <w:right w:val="single" w:sz="4" w:space="0" w:color="auto"/>
            </w:tcBorders>
            <w:shd w:val="clear" w:color="auto" w:fill="auto"/>
          </w:tcPr>
          <w:p w14:paraId="0DA549D9" w14:textId="77777777" w:rsidR="00CA353F" w:rsidRDefault="00CA353F">
            <w:pPr>
              <w:ind w:firstLine="60"/>
              <w:jc w:val="right"/>
            </w:pPr>
          </w:p>
        </w:tc>
        <w:tc>
          <w:tcPr>
            <w:tcW w:w="1280" w:type="dxa"/>
            <w:tcBorders>
              <w:top w:val="nil"/>
              <w:left w:val="nil"/>
              <w:bottom w:val="single" w:sz="4" w:space="0" w:color="auto"/>
              <w:right w:val="nil"/>
            </w:tcBorders>
            <w:shd w:val="clear" w:color="auto" w:fill="auto"/>
          </w:tcPr>
          <w:p w14:paraId="0DA549DA" w14:textId="77777777" w:rsidR="00CA353F" w:rsidRDefault="00CA353F">
            <w:pPr>
              <w:ind w:firstLine="60"/>
              <w:jc w:val="right"/>
            </w:pPr>
          </w:p>
        </w:tc>
        <w:tc>
          <w:tcPr>
            <w:tcW w:w="1320" w:type="dxa"/>
            <w:tcBorders>
              <w:top w:val="nil"/>
              <w:left w:val="single" w:sz="4" w:space="0" w:color="auto"/>
              <w:bottom w:val="single" w:sz="4" w:space="0" w:color="auto"/>
              <w:right w:val="single" w:sz="4" w:space="0" w:color="auto"/>
            </w:tcBorders>
            <w:shd w:val="clear" w:color="auto" w:fill="auto"/>
          </w:tcPr>
          <w:p w14:paraId="0DA549DB"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9DC" w14:textId="77777777" w:rsidR="00CA353F" w:rsidRDefault="00CA353F">
            <w:pPr>
              <w:ind w:firstLine="60"/>
              <w:jc w:val="right"/>
            </w:pPr>
          </w:p>
        </w:tc>
      </w:tr>
      <w:tr w:rsidR="00CA353F" w14:paraId="0DA549E8" w14:textId="77777777">
        <w:trPr>
          <w:trHeight w:val="270"/>
        </w:trPr>
        <w:tc>
          <w:tcPr>
            <w:tcW w:w="1180" w:type="dxa"/>
            <w:tcBorders>
              <w:top w:val="nil"/>
              <w:left w:val="single" w:sz="8" w:space="0" w:color="auto"/>
              <w:bottom w:val="single" w:sz="4" w:space="0" w:color="auto"/>
              <w:right w:val="single" w:sz="4" w:space="0" w:color="auto"/>
            </w:tcBorders>
            <w:shd w:val="clear" w:color="auto" w:fill="auto"/>
          </w:tcPr>
          <w:p w14:paraId="0DA549DE" w14:textId="77777777" w:rsidR="00CA353F" w:rsidRDefault="002C3F58">
            <w:pPr>
              <w:jc w:val="both"/>
            </w:pPr>
            <w:r>
              <w:t>2.3.1.1.</w:t>
            </w:r>
          </w:p>
        </w:tc>
        <w:tc>
          <w:tcPr>
            <w:tcW w:w="5315" w:type="dxa"/>
            <w:tcBorders>
              <w:top w:val="nil"/>
              <w:left w:val="nil"/>
              <w:bottom w:val="single" w:sz="4" w:space="0" w:color="auto"/>
              <w:right w:val="single" w:sz="8" w:space="0" w:color="auto"/>
            </w:tcBorders>
            <w:shd w:val="clear" w:color="auto" w:fill="auto"/>
          </w:tcPr>
          <w:p w14:paraId="0DA549DF" w14:textId="77777777" w:rsidR="00CA353F" w:rsidRDefault="002C3F58">
            <w:pPr>
              <w:rPr>
                <w:i/>
                <w:iCs/>
              </w:rPr>
            </w:pPr>
            <w:r>
              <w:rPr>
                <w:i/>
                <w:iCs/>
              </w:rPr>
              <w:t>(išvardinti vartotojus, suvartojančius daugiau nei 15 mln. m</w:t>
            </w:r>
            <w:r>
              <w:rPr>
                <w:i/>
                <w:iCs/>
                <w:vertAlign w:val="superscript"/>
              </w:rPr>
              <w:t>3</w:t>
            </w:r>
            <w:r>
              <w:rPr>
                <w:i/>
                <w:iCs/>
              </w:rPr>
              <w:t xml:space="preserve"> per metus)</w:t>
            </w:r>
          </w:p>
        </w:tc>
        <w:tc>
          <w:tcPr>
            <w:tcW w:w="970" w:type="dxa"/>
            <w:tcBorders>
              <w:top w:val="nil"/>
              <w:left w:val="nil"/>
              <w:bottom w:val="single" w:sz="4" w:space="0" w:color="auto"/>
              <w:right w:val="nil"/>
            </w:tcBorders>
            <w:shd w:val="clear" w:color="auto" w:fill="auto"/>
          </w:tcPr>
          <w:p w14:paraId="0DA549E0"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9E1" w14:textId="77777777" w:rsidR="00CA353F" w:rsidRDefault="00CA353F">
            <w:pPr>
              <w:ind w:firstLine="60"/>
              <w:jc w:val="right"/>
            </w:pPr>
          </w:p>
        </w:tc>
        <w:tc>
          <w:tcPr>
            <w:tcW w:w="1180" w:type="dxa"/>
            <w:tcBorders>
              <w:top w:val="nil"/>
              <w:left w:val="nil"/>
              <w:bottom w:val="single" w:sz="4" w:space="0" w:color="auto"/>
              <w:right w:val="single" w:sz="4" w:space="0" w:color="auto"/>
            </w:tcBorders>
            <w:shd w:val="clear" w:color="auto" w:fill="auto"/>
          </w:tcPr>
          <w:p w14:paraId="0DA549E2" w14:textId="77777777" w:rsidR="00CA353F" w:rsidRDefault="00CA353F">
            <w:pPr>
              <w:ind w:firstLine="60"/>
              <w:jc w:val="right"/>
            </w:pPr>
          </w:p>
        </w:tc>
        <w:tc>
          <w:tcPr>
            <w:tcW w:w="1220" w:type="dxa"/>
            <w:tcBorders>
              <w:top w:val="nil"/>
              <w:left w:val="nil"/>
              <w:bottom w:val="single" w:sz="4" w:space="0" w:color="auto"/>
              <w:right w:val="single" w:sz="4" w:space="0" w:color="auto"/>
            </w:tcBorders>
            <w:shd w:val="clear" w:color="auto" w:fill="auto"/>
          </w:tcPr>
          <w:p w14:paraId="0DA549E3" w14:textId="77777777" w:rsidR="00CA353F" w:rsidRDefault="00CA353F">
            <w:pPr>
              <w:ind w:firstLine="60"/>
              <w:jc w:val="right"/>
            </w:pPr>
          </w:p>
        </w:tc>
        <w:tc>
          <w:tcPr>
            <w:tcW w:w="1320" w:type="dxa"/>
            <w:tcBorders>
              <w:top w:val="nil"/>
              <w:left w:val="nil"/>
              <w:bottom w:val="single" w:sz="4" w:space="0" w:color="auto"/>
              <w:right w:val="single" w:sz="4" w:space="0" w:color="auto"/>
            </w:tcBorders>
            <w:shd w:val="clear" w:color="auto" w:fill="auto"/>
          </w:tcPr>
          <w:p w14:paraId="0DA549E4" w14:textId="77777777" w:rsidR="00CA353F" w:rsidRDefault="00CA353F">
            <w:pPr>
              <w:ind w:firstLine="60"/>
              <w:jc w:val="right"/>
            </w:pPr>
          </w:p>
        </w:tc>
        <w:tc>
          <w:tcPr>
            <w:tcW w:w="1280" w:type="dxa"/>
            <w:tcBorders>
              <w:top w:val="nil"/>
              <w:left w:val="nil"/>
              <w:bottom w:val="single" w:sz="4" w:space="0" w:color="auto"/>
              <w:right w:val="nil"/>
            </w:tcBorders>
            <w:shd w:val="clear" w:color="auto" w:fill="auto"/>
          </w:tcPr>
          <w:p w14:paraId="0DA549E5" w14:textId="77777777" w:rsidR="00CA353F" w:rsidRDefault="00CA353F">
            <w:pPr>
              <w:ind w:firstLine="60"/>
              <w:jc w:val="right"/>
            </w:pPr>
          </w:p>
        </w:tc>
        <w:tc>
          <w:tcPr>
            <w:tcW w:w="1320" w:type="dxa"/>
            <w:tcBorders>
              <w:top w:val="nil"/>
              <w:left w:val="single" w:sz="4" w:space="0" w:color="auto"/>
              <w:bottom w:val="single" w:sz="4" w:space="0" w:color="auto"/>
              <w:right w:val="single" w:sz="4" w:space="0" w:color="auto"/>
            </w:tcBorders>
            <w:shd w:val="clear" w:color="auto" w:fill="auto"/>
          </w:tcPr>
          <w:p w14:paraId="0DA549E6"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9E7" w14:textId="77777777" w:rsidR="00CA353F" w:rsidRDefault="00CA353F">
            <w:pPr>
              <w:ind w:firstLine="60"/>
              <w:jc w:val="right"/>
            </w:pPr>
          </w:p>
        </w:tc>
      </w:tr>
      <w:tr w:rsidR="00CA353F" w14:paraId="0DA549F3"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9E9" w14:textId="77777777" w:rsidR="00CA353F" w:rsidRDefault="002C3F58">
            <w:pPr>
              <w:jc w:val="both"/>
            </w:pPr>
            <w:r>
              <w:t xml:space="preserve">3. </w:t>
            </w:r>
          </w:p>
        </w:tc>
        <w:tc>
          <w:tcPr>
            <w:tcW w:w="5315" w:type="dxa"/>
            <w:tcBorders>
              <w:top w:val="nil"/>
              <w:left w:val="nil"/>
              <w:bottom w:val="single" w:sz="4" w:space="0" w:color="auto"/>
              <w:right w:val="single" w:sz="8" w:space="0" w:color="auto"/>
            </w:tcBorders>
            <w:shd w:val="clear" w:color="auto" w:fill="auto"/>
          </w:tcPr>
          <w:p w14:paraId="0DA549EA" w14:textId="77777777" w:rsidR="00CA353F" w:rsidRDefault="002C3F58">
            <w:r>
              <w:t>Saugykloje saugomų dujų kiekis:</w:t>
            </w:r>
          </w:p>
        </w:tc>
        <w:tc>
          <w:tcPr>
            <w:tcW w:w="970" w:type="dxa"/>
            <w:tcBorders>
              <w:top w:val="nil"/>
              <w:left w:val="nil"/>
              <w:bottom w:val="single" w:sz="4" w:space="0" w:color="auto"/>
              <w:right w:val="nil"/>
            </w:tcBorders>
            <w:shd w:val="clear" w:color="auto" w:fill="auto"/>
          </w:tcPr>
          <w:p w14:paraId="0DA549EB"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9EC" w14:textId="77777777" w:rsidR="00CA353F" w:rsidRDefault="00CA353F">
            <w:pPr>
              <w:ind w:firstLine="60"/>
              <w:jc w:val="right"/>
            </w:pPr>
          </w:p>
        </w:tc>
        <w:tc>
          <w:tcPr>
            <w:tcW w:w="1180" w:type="dxa"/>
            <w:tcBorders>
              <w:top w:val="nil"/>
              <w:left w:val="nil"/>
              <w:bottom w:val="single" w:sz="4" w:space="0" w:color="auto"/>
              <w:right w:val="single" w:sz="4" w:space="0" w:color="auto"/>
            </w:tcBorders>
            <w:shd w:val="clear" w:color="auto" w:fill="auto"/>
          </w:tcPr>
          <w:p w14:paraId="0DA549ED" w14:textId="77777777" w:rsidR="00CA353F" w:rsidRDefault="00CA353F">
            <w:pPr>
              <w:ind w:firstLine="60"/>
              <w:jc w:val="right"/>
            </w:pPr>
          </w:p>
        </w:tc>
        <w:tc>
          <w:tcPr>
            <w:tcW w:w="1220" w:type="dxa"/>
            <w:tcBorders>
              <w:top w:val="nil"/>
              <w:left w:val="nil"/>
              <w:bottom w:val="single" w:sz="4" w:space="0" w:color="auto"/>
              <w:right w:val="single" w:sz="4" w:space="0" w:color="auto"/>
            </w:tcBorders>
            <w:shd w:val="clear" w:color="auto" w:fill="auto"/>
          </w:tcPr>
          <w:p w14:paraId="0DA549EE" w14:textId="77777777" w:rsidR="00CA353F" w:rsidRDefault="00CA353F">
            <w:pPr>
              <w:ind w:firstLine="60"/>
              <w:jc w:val="right"/>
            </w:pPr>
          </w:p>
        </w:tc>
        <w:tc>
          <w:tcPr>
            <w:tcW w:w="1320" w:type="dxa"/>
            <w:tcBorders>
              <w:top w:val="nil"/>
              <w:left w:val="nil"/>
              <w:bottom w:val="single" w:sz="4" w:space="0" w:color="auto"/>
              <w:right w:val="single" w:sz="4" w:space="0" w:color="auto"/>
            </w:tcBorders>
            <w:shd w:val="clear" w:color="auto" w:fill="auto"/>
          </w:tcPr>
          <w:p w14:paraId="0DA549EF" w14:textId="77777777" w:rsidR="00CA353F" w:rsidRDefault="00CA353F">
            <w:pPr>
              <w:ind w:firstLine="60"/>
              <w:jc w:val="right"/>
            </w:pPr>
          </w:p>
        </w:tc>
        <w:tc>
          <w:tcPr>
            <w:tcW w:w="1280" w:type="dxa"/>
            <w:tcBorders>
              <w:top w:val="nil"/>
              <w:left w:val="nil"/>
              <w:bottom w:val="single" w:sz="4" w:space="0" w:color="auto"/>
              <w:right w:val="nil"/>
            </w:tcBorders>
            <w:shd w:val="clear" w:color="auto" w:fill="auto"/>
          </w:tcPr>
          <w:p w14:paraId="0DA549F0" w14:textId="77777777" w:rsidR="00CA353F" w:rsidRDefault="00CA353F">
            <w:pPr>
              <w:ind w:firstLine="60"/>
              <w:jc w:val="right"/>
            </w:pPr>
          </w:p>
        </w:tc>
        <w:tc>
          <w:tcPr>
            <w:tcW w:w="1320" w:type="dxa"/>
            <w:tcBorders>
              <w:top w:val="nil"/>
              <w:left w:val="single" w:sz="4" w:space="0" w:color="auto"/>
              <w:bottom w:val="single" w:sz="4" w:space="0" w:color="auto"/>
              <w:right w:val="single" w:sz="4" w:space="0" w:color="auto"/>
            </w:tcBorders>
            <w:shd w:val="clear" w:color="auto" w:fill="auto"/>
          </w:tcPr>
          <w:p w14:paraId="0DA549F1"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9F2" w14:textId="77777777" w:rsidR="00CA353F" w:rsidRDefault="00CA353F">
            <w:pPr>
              <w:ind w:firstLine="60"/>
              <w:jc w:val="right"/>
            </w:pPr>
          </w:p>
        </w:tc>
      </w:tr>
      <w:tr w:rsidR="00CA353F" w14:paraId="0DA549FE"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9F4" w14:textId="77777777" w:rsidR="00CA353F" w:rsidRDefault="002C3F58">
            <w:pPr>
              <w:jc w:val="both"/>
            </w:pPr>
            <w:r>
              <w:t>3.1.</w:t>
            </w:r>
          </w:p>
        </w:tc>
        <w:tc>
          <w:tcPr>
            <w:tcW w:w="5315" w:type="dxa"/>
            <w:tcBorders>
              <w:top w:val="nil"/>
              <w:left w:val="nil"/>
              <w:bottom w:val="single" w:sz="4" w:space="0" w:color="auto"/>
              <w:right w:val="single" w:sz="8" w:space="0" w:color="auto"/>
            </w:tcBorders>
            <w:shd w:val="clear" w:color="auto" w:fill="auto"/>
          </w:tcPr>
          <w:p w14:paraId="0DA549F5" w14:textId="77777777" w:rsidR="00CA353F" w:rsidRDefault="002C3F58">
            <w:r>
              <w:t>Likutis laikotarpio pradžioje</w:t>
            </w:r>
          </w:p>
        </w:tc>
        <w:tc>
          <w:tcPr>
            <w:tcW w:w="970" w:type="dxa"/>
            <w:tcBorders>
              <w:top w:val="nil"/>
              <w:left w:val="nil"/>
              <w:bottom w:val="single" w:sz="4" w:space="0" w:color="auto"/>
              <w:right w:val="nil"/>
            </w:tcBorders>
            <w:shd w:val="clear" w:color="auto" w:fill="auto"/>
          </w:tcPr>
          <w:p w14:paraId="0DA549F6"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9F7" w14:textId="77777777" w:rsidR="00CA353F" w:rsidRDefault="00CA353F">
            <w:pPr>
              <w:ind w:firstLine="60"/>
              <w:jc w:val="right"/>
            </w:pPr>
          </w:p>
        </w:tc>
        <w:tc>
          <w:tcPr>
            <w:tcW w:w="1180" w:type="dxa"/>
            <w:tcBorders>
              <w:top w:val="nil"/>
              <w:left w:val="nil"/>
              <w:bottom w:val="single" w:sz="4" w:space="0" w:color="auto"/>
              <w:right w:val="single" w:sz="4" w:space="0" w:color="auto"/>
            </w:tcBorders>
            <w:shd w:val="clear" w:color="auto" w:fill="auto"/>
          </w:tcPr>
          <w:p w14:paraId="0DA549F8" w14:textId="77777777" w:rsidR="00CA353F" w:rsidRDefault="00CA353F">
            <w:pPr>
              <w:ind w:firstLine="60"/>
              <w:jc w:val="right"/>
            </w:pPr>
          </w:p>
        </w:tc>
        <w:tc>
          <w:tcPr>
            <w:tcW w:w="1220" w:type="dxa"/>
            <w:tcBorders>
              <w:top w:val="nil"/>
              <w:left w:val="nil"/>
              <w:bottom w:val="single" w:sz="4" w:space="0" w:color="auto"/>
              <w:right w:val="single" w:sz="4" w:space="0" w:color="auto"/>
            </w:tcBorders>
            <w:shd w:val="clear" w:color="auto" w:fill="auto"/>
          </w:tcPr>
          <w:p w14:paraId="0DA549F9" w14:textId="77777777" w:rsidR="00CA353F" w:rsidRDefault="00CA353F">
            <w:pPr>
              <w:ind w:firstLine="60"/>
              <w:jc w:val="right"/>
            </w:pPr>
          </w:p>
        </w:tc>
        <w:tc>
          <w:tcPr>
            <w:tcW w:w="1320" w:type="dxa"/>
            <w:tcBorders>
              <w:top w:val="nil"/>
              <w:left w:val="nil"/>
              <w:bottom w:val="single" w:sz="4" w:space="0" w:color="auto"/>
              <w:right w:val="single" w:sz="4" w:space="0" w:color="auto"/>
            </w:tcBorders>
            <w:shd w:val="clear" w:color="auto" w:fill="auto"/>
          </w:tcPr>
          <w:p w14:paraId="0DA549FA" w14:textId="77777777" w:rsidR="00CA353F" w:rsidRDefault="00CA353F">
            <w:pPr>
              <w:ind w:firstLine="60"/>
              <w:jc w:val="right"/>
            </w:pPr>
          </w:p>
        </w:tc>
        <w:tc>
          <w:tcPr>
            <w:tcW w:w="1280" w:type="dxa"/>
            <w:tcBorders>
              <w:top w:val="nil"/>
              <w:left w:val="nil"/>
              <w:bottom w:val="single" w:sz="4" w:space="0" w:color="auto"/>
              <w:right w:val="nil"/>
            </w:tcBorders>
            <w:shd w:val="clear" w:color="auto" w:fill="auto"/>
          </w:tcPr>
          <w:p w14:paraId="0DA549FB" w14:textId="77777777" w:rsidR="00CA353F" w:rsidRDefault="00CA353F">
            <w:pPr>
              <w:ind w:firstLine="60"/>
              <w:jc w:val="right"/>
            </w:pPr>
          </w:p>
        </w:tc>
        <w:tc>
          <w:tcPr>
            <w:tcW w:w="1320" w:type="dxa"/>
            <w:tcBorders>
              <w:top w:val="nil"/>
              <w:left w:val="single" w:sz="4" w:space="0" w:color="auto"/>
              <w:bottom w:val="single" w:sz="4" w:space="0" w:color="auto"/>
              <w:right w:val="single" w:sz="4" w:space="0" w:color="auto"/>
            </w:tcBorders>
            <w:shd w:val="clear" w:color="auto" w:fill="auto"/>
          </w:tcPr>
          <w:p w14:paraId="0DA549FC"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9FD" w14:textId="77777777" w:rsidR="00CA353F" w:rsidRDefault="00CA353F">
            <w:pPr>
              <w:ind w:firstLine="60"/>
              <w:jc w:val="right"/>
            </w:pPr>
          </w:p>
        </w:tc>
      </w:tr>
      <w:tr w:rsidR="00CA353F" w14:paraId="0DA54A09"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9FF" w14:textId="77777777" w:rsidR="00CA353F" w:rsidRDefault="002C3F58">
            <w:pPr>
              <w:jc w:val="both"/>
            </w:pPr>
            <w:r>
              <w:t>3.2.</w:t>
            </w:r>
          </w:p>
        </w:tc>
        <w:tc>
          <w:tcPr>
            <w:tcW w:w="5315" w:type="dxa"/>
            <w:tcBorders>
              <w:top w:val="nil"/>
              <w:left w:val="nil"/>
              <w:bottom w:val="single" w:sz="4" w:space="0" w:color="auto"/>
              <w:right w:val="single" w:sz="8" w:space="0" w:color="auto"/>
            </w:tcBorders>
            <w:shd w:val="clear" w:color="auto" w:fill="auto"/>
          </w:tcPr>
          <w:p w14:paraId="0DA54A00" w14:textId="77777777" w:rsidR="00CA353F" w:rsidRDefault="002C3F58">
            <w:r>
              <w:t>Padėta dujų į saugyklą</w:t>
            </w:r>
          </w:p>
        </w:tc>
        <w:tc>
          <w:tcPr>
            <w:tcW w:w="970" w:type="dxa"/>
            <w:tcBorders>
              <w:top w:val="nil"/>
              <w:left w:val="nil"/>
              <w:bottom w:val="single" w:sz="4" w:space="0" w:color="auto"/>
              <w:right w:val="nil"/>
            </w:tcBorders>
            <w:shd w:val="clear" w:color="auto" w:fill="auto"/>
          </w:tcPr>
          <w:p w14:paraId="0DA54A01"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A02" w14:textId="77777777" w:rsidR="00CA353F" w:rsidRDefault="00CA353F">
            <w:pPr>
              <w:ind w:firstLine="60"/>
              <w:jc w:val="right"/>
            </w:pPr>
          </w:p>
        </w:tc>
        <w:tc>
          <w:tcPr>
            <w:tcW w:w="1180" w:type="dxa"/>
            <w:tcBorders>
              <w:top w:val="nil"/>
              <w:left w:val="nil"/>
              <w:bottom w:val="single" w:sz="4" w:space="0" w:color="auto"/>
              <w:right w:val="single" w:sz="4" w:space="0" w:color="auto"/>
            </w:tcBorders>
            <w:shd w:val="clear" w:color="auto" w:fill="auto"/>
          </w:tcPr>
          <w:p w14:paraId="0DA54A03" w14:textId="77777777" w:rsidR="00CA353F" w:rsidRDefault="00CA353F">
            <w:pPr>
              <w:ind w:firstLine="60"/>
              <w:jc w:val="right"/>
            </w:pPr>
          </w:p>
        </w:tc>
        <w:tc>
          <w:tcPr>
            <w:tcW w:w="1220" w:type="dxa"/>
            <w:tcBorders>
              <w:top w:val="nil"/>
              <w:left w:val="nil"/>
              <w:bottom w:val="single" w:sz="4" w:space="0" w:color="auto"/>
              <w:right w:val="single" w:sz="4" w:space="0" w:color="auto"/>
            </w:tcBorders>
            <w:shd w:val="clear" w:color="auto" w:fill="auto"/>
          </w:tcPr>
          <w:p w14:paraId="0DA54A04" w14:textId="77777777" w:rsidR="00CA353F" w:rsidRDefault="00CA353F">
            <w:pPr>
              <w:ind w:firstLine="60"/>
              <w:jc w:val="right"/>
            </w:pPr>
          </w:p>
        </w:tc>
        <w:tc>
          <w:tcPr>
            <w:tcW w:w="1320" w:type="dxa"/>
            <w:tcBorders>
              <w:top w:val="nil"/>
              <w:left w:val="nil"/>
              <w:bottom w:val="single" w:sz="4" w:space="0" w:color="auto"/>
              <w:right w:val="single" w:sz="4" w:space="0" w:color="auto"/>
            </w:tcBorders>
            <w:shd w:val="clear" w:color="auto" w:fill="auto"/>
          </w:tcPr>
          <w:p w14:paraId="0DA54A05" w14:textId="77777777" w:rsidR="00CA353F" w:rsidRDefault="00CA353F">
            <w:pPr>
              <w:ind w:firstLine="60"/>
              <w:jc w:val="right"/>
            </w:pPr>
          </w:p>
        </w:tc>
        <w:tc>
          <w:tcPr>
            <w:tcW w:w="1280" w:type="dxa"/>
            <w:tcBorders>
              <w:top w:val="nil"/>
              <w:left w:val="nil"/>
              <w:bottom w:val="single" w:sz="4" w:space="0" w:color="auto"/>
              <w:right w:val="nil"/>
            </w:tcBorders>
            <w:shd w:val="clear" w:color="auto" w:fill="auto"/>
          </w:tcPr>
          <w:p w14:paraId="0DA54A06" w14:textId="77777777" w:rsidR="00CA353F" w:rsidRDefault="00CA353F">
            <w:pPr>
              <w:ind w:firstLine="60"/>
              <w:jc w:val="right"/>
            </w:pPr>
          </w:p>
        </w:tc>
        <w:tc>
          <w:tcPr>
            <w:tcW w:w="1320" w:type="dxa"/>
            <w:tcBorders>
              <w:top w:val="nil"/>
              <w:left w:val="single" w:sz="4" w:space="0" w:color="auto"/>
              <w:bottom w:val="single" w:sz="4" w:space="0" w:color="auto"/>
              <w:right w:val="single" w:sz="4" w:space="0" w:color="auto"/>
            </w:tcBorders>
            <w:shd w:val="clear" w:color="auto" w:fill="auto"/>
          </w:tcPr>
          <w:p w14:paraId="0DA54A07"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08" w14:textId="77777777" w:rsidR="00CA353F" w:rsidRDefault="00CA353F">
            <w:pPr>
              <w:ind w:firstLine="60"/>
              <w:jc w:val="right"/>
            </w:pPr>
          </w:p>
        </w:tc>
      </w:tr>
      <w:tr w:rsidR="00CA353F" w14:paraId="0DA54A14"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0A" w14:textId="77777777" w:rsidR="00CA353F" w:rsidRDefault="002C3F58">
            <w:pPr>
              <w:jc w:val="both"/>
            </w:pPr>
            <w:r>
              <w:t>3.3.</w:t>
            </w:r>
          </w:p>
        </w:tc>
        <w:tc>
          <w:tcPr>
            <w:tcW w:w="5315" w:type="dxa"/>
            <w:tcBorders>
              <w:top w:val="nil"/>
              <w:left w:val="nil"/>
              <w:bottom w:val="single" w:sz="4" w:space="0" w:color="auto"/>
              <w:right w:val="single" w:sz="8" w:space="0" w:color="auto"/>
            </w:tcBorders>
            <w:shd w:val="clear" w:color="auto" w:fill="auto"/>
          </w:tcPr>
          <w:p w14:paraId="0DA54A0B" w14:textId="77777777" w:rsidR="00CA353F" w:rsidRDefault="002C3F58">
            <w:r>
              <w:t>Paimta dujų iš saugyklos</w:t>
            </w:r>
          </w:p>
        </w:tc>
        <w:tc>
          <w:tcPr>
            <w:tcW w:w="970" w:type="dxa"/>
            <w:tcBorders>
              <w:top w:val="nil"/>
              <w:left w:val="nil"/>
              <w:bottom w:val="single" w:sz="4" w:space="0" w:color="auto"/>
              <w:right w:val="nil"/>
            </w:tcBorders>
            <w:shd w:val="clear" w:color="auto" w:fill="auto"/>
          </w:tcPr>
          <w:p w14:paraId="0DA54A0C"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A0D" w14:textId="77777777" w:rsidR="00CA353F" w:rsidRDefault="00CA353F">
            <w:pPr>
              <w:ind w:firstLine="60"/>
              <w:jc w:val="right"/>
            </w:pPr>
          </w:p>
        </w:tc>
        <w:tc>
          <w:tcPr>
            <w:tcW w:w="1180" w:type="dxa"/>
            <w:tcBorders>
              <w:top w:val="nil"/>
              <w:left w:val="nil"/>
              <w:bottom w:val="single" w:sz="4" w:space="0" w:color="auto"/>
              <w:right w:val="single" w:sz="4" w:space="0" w:color="auto"/>
            </w:tcBorders>
            <w:shd w:val="clear" w:color="auto" w:fill="auto"/>
          </w:tcPr>
          <w:p w14:paraId="0DA54A0E" w14:textId="77777777" w:rsidR="00CA353F" w:rsidRDefault="00CA353F">
            <w:pPr>
              <w:ind w:firstLine="60"/>
              <w:jc w:val="right"/>
            </w:pPr>
          </w:p>
        </w:tc>
        <w:tc>
          <w:tcPr>
            <w:tcW w:w="1220" w:type="dxa"/>
            <w:tcBorders>
              <w:top w:val="nil"/>
              <w:left w:val="nil"/>
              <w:bottom w:val="single" w:sz="4" w:space="0" w:color="auto"/>
              <w:right w:val="single" w:sz="4" w:space="0" w:color="auto"/>
            </w:tcBorders>
            <w:shd w:val="clear" w:color="auto" w:fill="auto"/>
          </w:tcPr>
          <w:p w14:paraId="0DA54A0F" w14:textId="77777777" w:rsidR="00CA353F" w:rsidRDefault="00CA353F">
            <w:pPr>
              <w:ind w:firstLine="60"/>
              <w:jc w:val="right"/>
            </w:pPr>
          </w:p>
        </w:tc>
        <w:tc>
          <w:tcPr>
            <w:tcW w:w="1320" w:type="dxa"/>
            <w:tcBorders>
              <w:top w:val="nil"/>
              <w:left w:val="nil"/>
              <w:bottom w:val="single" w:sz="4" w:space="0" w:color="auto"/>
              <w:right w:val="single" w:sz="4" w:space="0" w:color="auto"/>
            </w:tcBorders>
            <w:shd w:val="clear" w:color="auto" w:fill="auto"/>
          </w:tcPr>
          <w:p w14:paraId="0DA54A10" w14:textId="77777777" w:rsidR="00CA353F" w:rsidRDefault="00CA353F">
            <w:pPr>
              <w:ind w:firstLine="60"/>
              <w:jc w:val="right"/>
            </w:pPr>
          </w:p>
        </w:tc>
        <w:tc>
          <w:tcPr>
            <w:tcW w:w="1280" w:type="dxa"/>
            <w:tcBorders>
              <w:top w:val="nil"/>
              <w:left w:val="nil"/>
              <w:bottom w:val="single" w:sz="4" w:space="0" w:color="auto"/>
              <w:right w:val="nil"/>
            </w:tcBorders>
            <w:shd w:val="clear" w:color="auto" w:fill="auto"/>
          </w:tcPr>
          <w:p w14:paraId="0DA54A11" w14:textId="77777777" w:rsidR="00CA353F" w:rsidRDefault="00CA353F">
            <w:pPr>
              <w:ind w:firstLine="60"/>
              <w:jc w:val="right"/>
            </w:pPr>
          </w:p>
        </w:tc>
        <w:tc>
          <w:tcPr>
            <w:tcW w:w="1320" w:type="dxa"/>
            <w:tcBorders>
              <w:top w:val="nil"/>
              <w:left w:val="single" w:sz="4" w:space="0" w:color="auto"/>
              <w:bottom w:val="single" w:sz="4" w:space="0" w:color="auto"/>
              <w:right w:val="single" w:sz="4" w:space="0" w:color="auto"/>
            </w:tcBorders>
            <w:shd w:val="clear" w:color="auto" w:fill="auto"/>
          </w:tcPr>
          <w:p w14:paraId="0DA54A12"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13" w14:textId="77777777" w:rsidR="00CA353F" w:rsidRDefault="00CA353F">
            <w:pPr>
              <w:ind w:firstLine="60"/>
              <w:jc w:val="right"/>
            </w:pPr>
          </w:p>
        </w:tc>
      </w:tr>
      <w:tr w:rsidR="00CA353F" w14:paraId="0DA54A1F"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15" w14:textId="77777777" w:rsidR="00CA353F" w:rsidRDefault="002C3F58">
            <w:pPr>
              <w:jc w:val="both"/>
            </w:pPr>
            <w:r>
              <w:t>3.4.</w:t>
            </w:r>
          </w:p>
        </w:tc>
        <w:tc>
          <w:tcPr>
            <w:tcW w:w="5315" w:type="dxa"/>
            <w:tcBorders>
              <w:top w:val="nil"/>
              <w:left w:val="nil"/>
              <w:bottom w:val="single" w:sz="4" w:space="0" w:color="auto"/>
              <w:right w:val="single" w:sz="8" w:space="0" w:color="auto"/>
            </w:tcBorders>
            <w:shd w:val="clear" w:color="auto" w:fill="auto"/>
          </w:tcPr>
          <w:p w14:paraId="0DA54A16" w14:textId="77777777" w:rsidR="00CA353F" w:rsidRDefault="002C3F58">
            <w:r>
              <w:t>Likutis laikotarpio pabaigoje</w:t>
            </w:r>
          </w:p>
        </w:tc>
        <w:tc>
          <w:tcPr>
            <w:tcW w:w="970" w:type="dxa"/>
            <w:tcBorders>
              <w:top w:val="nil"/>
              <w:left w:val="nil"/>
              <w:bottom w:val="single" w:sz="4" w:space="0" w:color="auto"/>
              <w:right w:val="nil"/>
            </w:tcBorders>
            <w:shd w:val="clear" w:color="auto" w:fill="auto"/>
          </w:tcPr>
          <w:p w14:paraId="0DA54A17"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A18" w14:textId="77777777" w:rsidR="00CA353F" w:rsidRDefault="00CA353F">
            <w:pPr>
              <w:ind w:firstLine="60"/>
              <w:jc w:val="right"/>
            </w:pPr>
          </w:p>
        </w:tc>
        <w:tc>
          <w:tcPr>
            <w:tcW w:w="1180" w:type="dxa"/>
            <w:tcBorders>
              <w:top w:val="nil"/>
              <w:left w:val="nil"/>
              <w:bottom w:val="single" w:sz="4" w:space="0" w:color="auto"/>
              <w:right w:val="single" w:sz="4" w:space="0" w:color="auto"/>
            </w:tcBorders>
            <w:shd w:val="clear" w:color="auto" w:fill="auto"/>
          </w:tcPr>
          <w:p w14:paraId="0DA54A19" w14:textId="77777777" w:rsidR="00CA353F" w:rsidRDefault="00CA353F">
            <w:pPr>
              <w:ind w:firstLine="60"/>
              <w:jc w:val="right"/>
            </w:pPr>
          </w:p>
        </w:tc>
        <w:tc>
          <w:tcPr>
            <w:tcW w:w="1220" w:type="dxa"/>
            <w:tcBorders>
              <w:top w:val="nil"/>
              <w:left w:val="nil"/>
              <w:bottom w:val="single" w:sz="4" w:space="0" w:color="auto"/>
              <w:right w:val="single" w:sz="4" w:space="0" w:color="auto"/>
            </w:tcBorders>
            <w:shd w:val="clear" w:color="auto" w:fill="auto"/>
          </w:tcPr>
          <w:p w14:paraId="0DA54A1A" w14:textId="77777777" w:rsidR="00CA353F" w:rsidRDefault="00CA353F">
            <w:pPr>
              <w:ind w:firstLine="60"/>
              <w:jc w:val="right"/>
            </w:pPr>
          </w:p>
        </w:tc>
        <w:tc>
          <w:tcPr>
            <w:tcW w:w="1320" w:type="dxa"/>
            <w:tcBorders>
              <w:top w:val="nil"/>
              <w:left w:val="nil"/>
              <w:bottom w:val="single" w:sz="4" w:space="0" w:color="auto"/>
              <w:right w:val="single" w:sz="4" w:space="0" w:color="auto"/>
            </w:tcBorders>
            <w:shd w:val="clear" w:color="auto" w:fill="auto"/>
          </w:tcPr>
          <w:p w14:paraId="0DA54A1B" w14:textId="77777777" w:rsidR="00CA353F" w:rsidRDefault="00CA353F">
            <w:pPr>
              <w:ind w:firstLine="60"/>
              <w:jc w:val="right"/>
            </w:pPr>
          </w:p>
        </w:tc>
        <w:tc>
          <w:tcPr>
            <w:tcW w:w="1280" w:type="dxa"/>
            <w:tcBorders>
              <w:top w:val="nil"/>
              <w:left w:val="nil"/>
              <w:bottom w:val="single" w:sz="4" w:space="0" w:color="auto"/>
              <w:right w:val="nil"/>
            </w:tcBorders>
            <w:shd w:val="clear" w:color="auto" w:fill="auto"/>
          </w:tcPr>
          <w:p w14:paraId="0DA54A1C" w14:textId="77777777" w:rsidR="00CA353F" w:rsidRDefault="00CA353F">
            <w:pPr>
              <w:ind w:firstLine="60"/>
              <w:jc w:val="right"/>
            </w:pPr>
          </w:p>
        </w:tc>
        <w:tc>
          <w:tcPr>
            <w:tcW w:w="1320" w:type="dxa"/>
            <w:tcBorders>
              <w:top w:val="nil"/>
              <w:left w:val="single" w:sz="4" w:space="0" w:color="auto"/>
              <w:bottom w:val="single" w:sz="4" w:space="0" w:color="auto"/>
              <w:right w:val="single" w:sz="4" w:space="0" w:color="auto"/>
            </w:tcBorders>
            <w:shd w:val="clear" w:color="auto" w:fill="auto"/>
          </w:tcPr>
          <w:p w14:paraId="0DA54A1D"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1E" w14:textId="77777777" w:rsidR="00CA353F" w:rsidRDefault="00CA353F">
            <w:pPr>
              <w:ind w:firstLine="60"/>
              <w:jc w:val="right"/>
            </w:pPr>
          </w:p>
        </w:tc>
      </w:tr>
      <w:tr w:rsidR="00CA353F" w14:paraId="0DA54A2A"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20" w14:textId="77777777" w:rsidR="00CA353F" w:rsidRDefault="002C3F58">
            <w:pPr>
              <w:jc w:val="both"/>
            </w:pPr>
            <w:r>
              <w:t>4.</w:t>
            </w:r>
          </w:p>
        </w:tc>
        <w:tc>
          <w:tcPr>
            <w:tcW w:w="5315" w:type="dxa"/>
            <w:tcBorders>
              <w:top w:val="nil"/>
              <w:left w:val="nil"/>
              <w:bottom w:val="single" w:sz="4" w:space="0" w:color="auto"/>
              <w:right w:val="single" w:sz="8" w:space="0" w:color="auto"/>
            </w:tcBorders>
            <w:shd w:val="clear" w:color="auto" w:fill="auto"/>
          </w:tcPr>
          <w:p w14:paraId="0DA54A21" w14:textId="77777777" w:rsidR="00CA353F" w:rsidRDefault="002C3F58">
            <w:r>
              <w:t>Dujų kiekis, reikalingas buitinių vartotojų tiekimo saugumui užtikrinti</w:t>
            </w:r>
          </w:p>
        </w:tc>
        <w:tc>
          <w:tcPr>
            <w:tcW w:w="970" w:type="dxa"/>
            <w:tcBorders>
              <w:top w:val="nil"/>
              <w:left w:val="nil"/>
              <w:bottom w:val="single" w:sz="4" w:space="0" w:color="auto"/>
              <w:right w:val="nil"/>
            </w:tcBorders>
            <w:shd w:val="clear" w:color="auto" w:fill="auto"/>
          </w:tcPr>
          <w:p w14:paraId="0DA54A22"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A23" w14:textId="77777777" w:rsidR="00CA353F" w:rsidRDefault="00CA353F">
            <w:pPr>
              <w:ind w:firstLine="60"/>
              <w:jc w:val="right"/>
            </w:pPr>
          </w:p>
        </w:tc>
        <w:tc>
          <w:tcPr>
            <w:tcW w:w="1180" w:type="dxa"/>
            <w:tcBorders>
              <w:top w:val="nil"/>
              <w:left w:val="nil"/>
              <w:bottom w:val="single" w:sz="4" w:space="0" w:color="auto"/>
              <w:right w:val="single" w:sz="4" w:space="0" w:color="auto"/>
            </w:tcBorders>
            <w:shd w:val="clear" w:color="auto" w:fill="auto"/>
          </w:tcPr>
          <w:p w14:paraId="0DA54A24" w14:textId="77777777" w:rsidR="00CA353F" w:rsidRDefault="00CA353F">
            <w:pPr>
              <w:ind w:firstLine="60"/>
              <w:jc w:val="right"/>
            </w:pPr>
          </w:p>
        </w:tc>
        <w:tc>
          <w:tcPr>
            <w:tcW w:w="1220" w:type="dxa"/>
            <w:tcBorders>
              <w:top w:val="nil"/>
              <w:left w:val="nil"/>
              <w:bottom w:val="single" w:sz="4" w:space="0" w:color="auto"/>
              <w:right w:val="single" w:sz="4" w:space="0" w:color="auto"/>
            </w:tcBorders>
            <w:shd w:val="clear" w:color="auto" w:fill="auto"/>
          </w:tcPr>
          <w:p w14:paraId="0DA54A25" w14:textId="77777777" w:rsidR="00CA353F" w:rsidRDefault="00CA353F">
            <w:pPr>
              <w:ind w:firstLine="60"/>
              <w:jc w:val="right"/>
            </w:pPr>
          </w:p>
        </w:tc>
        <w:tc>
          <w:tcPr>
            <w:tcW w:w="1320" w:type="dxa"/>
            <w:tcBorders>
              <w:top w:val="nil"/>
              <w:left w:val="nil"/>
              <w:bottom w:val="single" w:sz="4" w:space="0" w:color="auto"/>
              <w:right w:val="single" w:sz="4" w:space="0" w:color="auto"/>
            </w:tcBorders>
            <w:shd w:val="clear" w:color="auto" w:fill="auto"/>
          </w:tcPr>
          <w:p w14:paraId="0DA54A26" w14:textId="77777777" w:rsidR="00CA353F" w:rsidRDefault="00CA353F">
            <w:pPr>
              <w:ind w:firstLine="60"/>
              <w:jc w:val="right"/>
            </w:pPr>
          </w:p>
        </w:tc>
        <w:tc>
          <w:tcPr>
            <w:tcW w:w="1280" w:type="dxa"/>
            <w:tcBorders>
              <w:top w:val="nil"/>
              <w:left w:val="nil"/>
              <w:bottom w:val="single" w:sz="4" w:space="0" w:color="auto"/>
              <w:right w:val="nil"/>
            </w:tcBorders>
            <w:shd w:val="clear" w:color="auto" w:fill="auto"/>
          </w:tcPr>
          <w:p w14:paraId="0DA54A27" w14:textId="77777777" w:rsidR="00CA353F" w:rsidRDefault="00CA353F">
            <w:pPr>
              <w:ind w:firstLine="60"/>
              <w:jc w:val="right"/>
            </w:pPr>
          </w:p>
        </w:tc>
        <w:tc>
          <w:tcPr>
            <w:tcW w:w="1320" w:type="dxa"/>
            <w:tcBorders>
              <w:top w:val="nil"/>
              <w:left w:val="single" w:sz="4" w:space="0" w:color="auto"/>
              <w:bottom w:val="single" w:sz="4" w:space="0" w:color="auto"/>
              <w:right w:val="single" w:sz="4" w:space="0" w:color="auto"/>
            </w:tcBorders>
            <w:shd w:val="clear" w:color="auto" w:fill="auto"/>
          </w:tcPr>
          <w:p w14:paraId="0DA54A28"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29" w14:textId="77777777" w:rsidR="00CA353F" w:rsidRDefault="00CA353F">
            <w:pPr>
              <w:ind w:firstLine="60"/>
              <w:jc w:val="right"/>
            </w:pPr>
          </w:p>
        </w:tc>
      </w:tr>
      <w:tr w:rsidR="00CA353F" w14:paraId="0DA54A35"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2B" w14:textId="77777777" w:rsidR="00CA353F" w:rsidRDefault="002C3F58">
            <w:pPr>
              <w:jc w:val="both"/>
            </w:pPr>
            <w:r>
              <w:t xml:space="preserve">5. </w:t>
            </w:r>
          </w:p>
        </w:tc>
        <w:tc>
          <w:tcPr>
            <w:tcW w:w="5315" w:type="dxa"/>
            <w:tcBorders>
              <w:top w:val="nil"/>
              <w:left w:val="nil"/>
              <w:bottom w:val="single" w:sz="4" w:space="0" w:color="auto"/>
              <w:right w:val="single" w:sz="8" w:space="0" w:color="auto"/>
            </w:tcBorders>
            <w:shd w:val="clear" w:color="auto" w:fill="auto"/>
          </w:tcPr>
          <w:p w14:paraId="0DA54A2C" w14:textId="77777777" w:rsidR="00CA353F" w:rsidRDefault="002C3F58">
            <w:r>
              <w:t>Dujų suvartojimas savosioms reikmėms</w:t>
            </w:r>
          </w:p>
        </w:tc>
        <w:tc>
          <w:tcPr>
            <w:tcW w:w="970" w:type="dxa"/>
            <w:tcBorders>
              <w:top w:val="nil"/>
              <w:left w:val="nil"/>
              <w:bottom w:val="single" w:sz="4" w:space="0" w:color="auto"/>
              <w:right w:val="nil"/>
            </w:tcBorders>
            <w:shd w:val="clear" w:color="auto" w:fill="auto"/>
          </w:tcPr>
          <w:p w14:paraId="0DA54A2D"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A2E" w14:textId="77777777" w:rsidR="00CA353F" w:rsidRDefault="00CA353F">
            <w:pPr>
              <w:ind w:firstLine="60"/>
              <w:jc w:val="right"/>
            </w:pPr>
          </w:p>
        </w:tc>
        <w:tc>
          <w:tcPr>
            <w:tcW w:w="1180" w:type="dxa"/>
            <w:tcBorders>
              <w:top w:val="nil"/>
              <w:left w:val="nil"/>
              <w:bottom w:val="single" w:sz="4" w:space="0" w:color="auto"/>
              <w:right w:val="single" w:sz="4" w:space="0" w:color="auto"/>
            </w:tcBorders>
            <w:shd w:val="clear" w:color="auto" w:fill="auto"/>
          </w:tcPr>
          <w:p w14:paraId="0DA54A2F" w14:textId="77777777" w:rsidR="00CA353F" w:rsidRDefault="00CA353F">
            <w:pPr>
              <w:ind w:firstLine="60"/>
              <w:jc w:val="right"/>
            </w:pPr>
          </w:p>
        </w:tc>
        <w:tc>
          <w:tcPr>
            <w:tcW w:w="1220" w:type="dxa"/>
            <w:tcBorders>
              <w:top w:val="nil"/>
              <w:left w:val="nil"/>
              <w:bottom w:val="single" w:sz="4" w:space="0" w:color="auto"/>
              <w:right w:val="single" w:sz="4" w:space="0" w:color="auto"/>
            </w:tcBorders>
            <w:shd w:val="clear" w:color="auto" w:fill="auto"/>
          </w:tcPr>
          <w:p w14:paraId="0DA54A30" w14:textId="77777777" w:rsidR="00CA353F" w:rsidRDefault="00CA353F">
            <w:pPr>
              <w:ind w:firstLine="60"/>
              <w:jc w:val="right"/>
            </w:pPr>
          </w:p>
        </w:tc>
        <w:tc>
          <w:tcPr>
            <w:tcW w:w="1320" w:type="dxa"/>
            <w:tcBorders>
              <w:top w:val="nil"/>
              <w:left w:val="nil"/>
              <w:bottom w:val="single" w:sz="4" w:space="0" w:color="auto"/>
              <w:right w:val="single" w:sz="4" w:space="0" w:color="auto"/>
            </w:tcBorders>
            <w:shd w:val="clear" w:color="auto" w:fill="auto"/>
          </w:tcPr>
          <w:p w14:paraId="0DA54A31" w14:textId="77777777" w:rsidR="00CA353F" w:rsidRDefault="00CA353F">
            <w:pPr>
              <w:ind w:firstLine="60"/>
              <w:jc w:val="right"/>
            </w:pPr>
          </w:p>
        </w:tc>
        <w:tc>
          <w:tcPr>
            <w:tcW w:w="1280" w:type="dxa"/>
            <w:tcBorders>
              <w:top w:val="nil"/>
              <w:left w:val="nil"/>
              <w:bottom w:val="single" w:sz="4" w:space="0" w:color="auto"/>
              <w:right w:val="nil"/>
            </w:tcBorders>
            <w:shd w:val="clear" w:color="auto" w:fill="auto"/>
          </w:tcPr>
          <w:p w14:paraId="0DA54A32" w14:textId="77777777" w:rsidR="00CA353F" w:rsidRDefault="00CA353F">
            <w:pPr>
              <w:ind w:firstLine="60"/>
              <w:jc w:val="right"/>
            </w:pPr>
          </w:p>
        </w:tc>
        <w:tc>
          <w:tcPr>
            <w:tcW w:w="1320" w:type="dxa"/>
            <w:tcBorders>
              <w:top w:val="nil"/>
              <w:left w:val="single" w:sz="4" w:space="0" w:color="auto"/>
              <w:bottom w:val="single" w:sz="4" w:space="0" w:color="auto"/>
              <w:right w:val="single" w:sz="4" w:space="0" w:color="auto"/>
            </w:tcBorders>
            <w:shd w:val="clear" w:color="auto" w:fill="auto"/>
          </w:tcPr>
          <w:p w14:paraId="0DA54A33"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34" w14:textId="77777777" w:rsidR="00CA353F" w:rsidRDefault="00CA353F">
            <w:pPr>
              <w:ind w:firstLine="60"/>
              <w:jc w:val="right"/>
            </w:pPr>
          </w:p>
        </w:tc>
      </w:tr>
      <w:tr w:rsidR="00CA353F" w14:paraId="0DA54A40"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36" w14:textId="77777777" w:rsidR="00CA353F" w:rsidRDefault="00CA353F">
            <w:pPr>
              <w:ind w:firstLine="60"/>
              <w:jc w:val="both"/>
            </w:pPr>
          </w:p>
        </w:tc>
        <w:tc>
          <w:tcPr>
            <w:tcW w:w="5315" w:type="dxa"/>
            <w:tcBorders>
              <w:top w:val="nil"/>
              <w:left w:val="nil"/>
              <w:bottom w:val="single" w:sz="4" w:space="0" w:color="auto"/>
              <w:right w:val="single" w:sz="8" w:space="0" w:color="auto"/>
            </w:tcBorders>
            <w:shd w:val="clear" w:color="auto" w:fill="auto"/>
          </w:tcPr>
          <w:p w14:paraId="0DA54A37" w14:textId="77777777" w:rsidR="00CA353F" w:rsidRDefault="00CA353F">
            <w:pPr>
              <w:ind w:firstLine="60"/>
            </w:pPr>
          </w:p>
        </w:tc>
        <w:tc>
          <w:tcPr>
            <w:tcW w:w="970" w:type="dxa"/>
            <w:tcBorders>
              <w:top w:val="nil"/>
              <w:left w:val="nil"/>
              <w:bottom w:val="single" w:sz="4" w:space="0" w:color="auto"/>
              <w:right w:val="nil"/>
            </w:tcBorders>
            <w:shd w:val="clear" w:color="auto" w:fill="auto"/>
          </w:tcPr>
          <w:p w14:paraId="0DA54A38" w14:textId="77777777" w:rsidR="00CA353F" w:rsidRDefault="00CA353F">
            <w:pPr>
              <w:ind w:firstLine="60"/>
              <w:jc w:val="center"/>
            </w:pPr>
          </w:p>
        </w:tc>
        <w:tc>
          <w:tcPr>
            <w:tcW w:w="1200" w:type="dxa"/>
            <w:tcBorders>
              <w:top w:val="nil"/>
              <w:left w:val="single" w:sz="8" w:space="0" w:color="auto"/>
              <w:bottom w:val="single" w:sz="4" w:space="0" w:color="auto"/>
              <w:right w:val="single" w:sz="4" w:space="0" w:color="auto"/>
            </w:tcBorders>
            <w:shd w:val="clear" w:color="auto" w:fill="auto"/>
          </w:tcPr>
          <w:p w14:paraId="0DA54A39" w14:textId="77777777" w:rsidR="00CA353F" w:rsidRDefault="00CA353F">
            <w:pPr>
              <w:ind w:firstLine="60"/>
              <w:jc w:val="right"/>
            </w:pPr>
          </w:p>
        </w:tc>
        <w:tc>
          <w:tcPr>
            <w:tcW w:w="1180" w:type="dxa"/>
            <w:tcBorders>
              <w:top w:val="nil"/>
              <w:left w:val="nil"/>
              <w:bottom w:val="single" w:sz="4" w:space="0" w:color="auto"/>
              <w:right w:val="single" w:sz="4" w:space="0" w:color="auto"/>
            </w:tcBorders>
            <w:shd w:val="clear" w:color="auto" w:fill="auto"/>
          </w:tcPr>
          <w:p w14:paraId="0DA54A3A" w14:textId="77777777" w:rsidR="00CA353F" w:rsidRDefault="00CA353F">
            <w:pPr>
              <w:ind w:firstLine="60"/>
              <w:jc w:val="right"/>
            </w:pPr>
          </w:p>
        </w:tc>
        <w:tc>
          <w:tcPr>
            <w:tcW w:w="1220" w:type="dxa"/>
            <w:tcBorders>
              <w:top w:val="nil"/>
              <w:left w:val="nil"/>
              <w:bottom w:val="single" w:sz="4" w:space="0" w:color="auto"/>
              <w:right w:val="single" w:sz="4" w:space="0" w:color="auto"/>
            </w:tcBorders>
            <w:shd w:val="clear" w:color="auto" w:fill="auto"/>
          </w:tcPr>
          <w:p w14:paraId="0DA54A3B" w14:textId="77777777" w:rsidR="00CA353F" w:rsidRDefault="00CA353F">
            <w:pPr>
              <w:ind w:firstLine="60"/>
              <w:jc w:val="right"/>
            </w:pPr>
          </w:p>
        </w:tc>
        <w:tc>
          <w:tcPr>
            <w:tcW w:w="1320" w:type="dxa"/>
            <w:tcBorders>
              <w:top w:val="nil"/>
              <w:left w:val="nil"/>
              <w:bottom w:val="single" w:sz="4" w:space="0" w:color="auto"/>
              <w:right w:val="single" w:sz="4" w:space="0" w:color="auto"/>
            </w:tcBorders>
            <w:shd w:val="clear" w:color="auto" w:fill="auto"/>
          </w:tcPr>
          <w:p w14:paraId="0DA54A3C" w14:textId="77777777" w:rsidR="00CA353F" w:rsidRDefault="00CA353F">
            <w:pPr>
              <w:ind w:firstLine="60"/>
              <w:jc w:val="right"/>
            </w:pPr>
          </w:p>
        </w:tc>
        <w:tc>
          <w:tcPr>
            <w:tcW w:w="1280" w:type="dxa"/>
            <w:tcBorders>
              <w:top w:val="nil"/>
              <w:left w:val="nil"/>
              <w:bottom w:val="single" w:sz="4" w:space="0" w:color="auto"/>
              <w:right w:val="nil"/>
            </w:tcBorders>
            <w:shd w:val="clear" w:color="auto" w:fill="auto"/>
          </w:tcPr>
          <w:p w14:paraId="0DA54A3D" w14:textId="77777777" w:rsidR="00CA353F" w:rsidRDefault="00CA353F">
            <w:pPr>
              <w:ind w:firstLine="60"/>
              <w:jc w:val="right"/>
            </w:pPr>
          </w:p>
        </w:tc>
        <w:tc>
          <w:tcPr>
            <w:tcW w:w="1320" w:type="dxa"/>
            <w:tcBorders>
              <w:top w:val="nil"/>
              <w:left w:val="single" w:sz="4" w:space="0" w:color="auto"/>
              <w:bottom w:val="single" w:sz="4" w:space="0" w:color="auto"/>
              <w:right w:val="single" w:sz="4" w:space="0" w:color="auto"/>
            </w:tcBorders>
            <w:shd w:val="clear" w:color="auto" w:fill="auto"/>
          </w:tcPr>
          <w:p w14:paraId="0DA54A3E"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3F" w14:textId="77777777" w:rsidR="00CA353F" w:rsidRDefault="00CA353F">
            <w:pPr>
              <w:ind w:firstLine="60"/>
              <w:jc w:val="right"/>
            </w:pPr>
          </w:p>
        </w:tc>
      </w:tr>
      <w:tr w:rsidR="00CA353F" w14:paraId="0DA54A4B"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41" w14:textId="77777777" w:rsidR="00CA353F" w:rsidRDefault="00CA353F">
            <w:pPr>
              <w:ind w:firstLine="60"/>
              <w:jc w:val="both"/>
            </w:pPr>
          </w:p>
        </w:tc>
        <w:tc>
          <w:tcPr>
            <w:tcW w:w="5315" w:type="dxa"/>
            <w:tcBorders>
              <w:top w:val="nil"/>
              <w:left w:val="nil"/>
              <w:bottom w:val="single" w:sz="4" w:space="0" w:color="auto"/>
              <w:right w:val="single" w:sz="8" w:space="0" w:color="auto"/>
            </w:tcBorders>
            <w:shd w:val="clear" w:color="auto" w:fill="auto"/>
          </w:tcPr>
          <w:p w14:paraId="0DA54A42" w14:textId="77777777" w:rsidR="00CA353F" w:rsidRDefault="002C3F58">
            <w:r>
              <w:t>ŪKINĖS VEIKLOS RODIKLIAI</w:t>
            </w:r>
          </w:p>
        </w:tc>
        <w:tc>
          <w:tcPr>
            <w:tcW w:w="970" w:type="dxa"/>
            <w:tcBorders>
              <w:top w:val="nil"/>
              <w:left w:val="nil"/>
              <w:bottom w:val="single" w:sz="4" w:space="0" w:color="auto"/>
              <w:right w:val="nil"/>
            </w:tcBorders>
            <w:shd w:val="clear" w:color="auto" w:fill="auto"/>
          </w:tcPr>
          <w:p w14:paraId="0DA54A43" w14:textId="77777777" w:rsidR="00CA353F" w:rsidRDefault="00CA353F">
            <w:pPr>
              <w:ind w:firstLine="60"/>
              <w:jc w:val="center"/>
            </w:pPr>
          </w:p>
        </w:tc>
        <w:tc>
          <w:tcPr>
            <w:tcW w:w="1200" w:type="dxa"/>
            <w:tcBorders>
              <w:top w:val="nil"/>
              <w:left w:val="single" w:sz="8" w:space="0" w:color="auto"/>
              <w:bottom w:val="single" w:sz="4" w:space="0" w:color="auto"/>
              <w:right w:val="single" w:sz="4" w:space="0" w:color="auto"/>
            </w:tcBorders>
            <w:shd w:val="clear" w:color="auto" w:fill="auto"/>
          </w:tcPr>
          <w:p w14:paraId="0DA54A44"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A45"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A46"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A47"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A48"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A49"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4A" w14:textId="77777777" w:rsidR="00CA353F" w:rsidRDefault="00CA353F">
            <w:pPr>
              <w:ind w:firstLine="60"/>
              <w:jc w:val="right"/>
            </w:pPr>
          </w:p>
        </w:tc>
      </w:tr>
      <w:tr w:rsidR="00CA353F" w14:paraId="0DA54A56"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4C" w14:textId="77777777" w:rsidR="00CA353F" w:rsidRDefault="00CA353F">
            <w:pPr>
              <w:ind w:firstLine="60"/>
              <w:jc w:val="both"/>
            </w:pPr>
          </w:p>
        </w:tc>
        <w:tc>
          <w:tcPr>
            <w:tcW w:w="5315" w:type="dxa"/>
            <w:tcBorders>
              <w:top w:val="nil"/>
              <w:left w:val="nil"/>
              <w:bottom w:val="single" w:sz="4" w:space="0" w:color="auto"/>
              <w:right w:val="single" w:sz="8" w:space="0" w:color="auto"/>
            </w:tcBorders>
            <w:shd w:val="clear" w:color="auto" w:fill="auto"/>
          </w:tcPr>
          <w:p w14:paraId="0DA54A4D" w14:textId="77777777" w:rsidR="00CA353F" w:rsidRDefault="00CA353F">
            <w:pPr>
              <w:ind w:firstLine="60"/>
            </w:pPr>
          </w:p>
        </w:tc>
        <w:tc>
          <w:tcPr>
            <w:tcW w:w="970" w:type="dxa"/>
            <w:tcBorders>
              <w:top w:val="nil"/>
              <w:left w:val="nil"/>
              <w:bottom w:val="single" w:sz="4" w:space="0" w:color="auto"/>
              <w:right w:val="nil"/>
            </w:tcBorders>
            <w:shd w:val="clear" w:color="auto" w:fill="auto"/>
          </w:tcPr>
          <w:p w14:paraId="0DA54A4E" w14:textId="77777777" w:rsidR="00CA353F" w:rsidRDefault="00CA353F">
            <w:pPr>
              <w:ind w:firstLine="60"/>
              <w:jc w:val="center"/>
            </w:pPr>
          </w:p>
        </w:tc>
        <w:tc>
          <w:tcPr>
            <w:tcW w:w="1200" w:type="dxa"/>
            <w:tcBorders>
              <w:top w:val="nil"/>
              <w:left w:val="single" w:sz="8" w:space="0" w:color="auto"/>
              <w:bottom w:val="single" w:sz="4" w:space="0" w:color="auto"/>
              <w:right w:val="single" w:sz="4" w:space="0" w:color="auto"/>
            </w:tcBorders>
            <w:shd w:val="clear" w:color="auto" w:fill="auto"/>
          </w:tcPr>
          <w:p w14:paraId="0DA54A4F"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A50"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A51"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A52"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A53"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A54"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55" w14:textId="77777777" w:rsidR="00CA353F" w:rsidRDefault="00CA353F">
            <w:pPr>
              <w:ind w:firstLine="60"/>
              <w:jc w:val="right"/>
            </w:pPr>
          </w:p>
        </w:tc>
      </w:tr>
      <w:tr w:rsidR="00CA353F" w14:paraId="0DA54A61"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57" w14:textId="77777777" w:rsidR="00CA353F" w:rsidRDefault="002C3F58">
            <w:pPr>
              <w:jc w:val="both"/>
            </w:pPr>
            <w:r>
              <w:t>1.</w:t>
            </w:r>
          </w:p>
        </w:tc>
        <w:tc>
          <w:tcPr>
            <w:tcW w:w="5315" w:type="dxa"/>
            <w:tcBorders>
              <w:top w:val="nil"/>
              <w:left w:val="nil"/>
              <w:bottom w:val="single" w:sz="4" w:space="0" w:color="auto"/>
              <w:right w:val="single" w:sz="8" w:space="0" w:color="auto"/>
            </w:tcBorders>
            <w:shd w:val="clear" w:color="auto" w:fill="auto"/>
          </w:tcPr>
          <w:p w14:paraId="0DA54A58" w14:textId="77777777" w:rsidR="00CA353F" w:rsidRDefault="002C3F58">
            <w:r>
              <w:t>Gamtinių dujų tiekimo veiklos sąnaudos, iš viso</w:t>
            </w:r>
          </w:p>
        </w:tc>
        <w:tc>
          <w:tcPr>
            <w:tcW w:w="970" w:type="dxa"/>
            <w:tcBorders>
              <w:top w:val="nil"/>
              <w:left w:val="nil"/>
              <w:bottom w:val="single" w:sz="4" w:space="0" w:color="auto"/>
              <w:right w:val="nil"/>
            </w:tcBorders>
            <w:shd w:val="clear" w:color="auto" w:fill="auto"/>
          </w:tcPr>
          <w:p w14:paraId="0DA54A59" w14:textId="77777777" w:rsidR="00CA353F" w:rsidRDefault="002C3F58">
            <w:pPr>
              <w:jc w:val="center"/>
            </w:pPr>
            <w:r>
              <w:t>tūkst. Lt</w:t>
            </w:r>
          </w:p>
        </w:tc>
        <w:tc>
          <w:tcPr>
            <w:tcW w:w="1200" w:type="dxa"/>
            <w:tcBorders>
              <w:top w:val="nil"/>
              <w:left w:val="single" w:sz="8" w:space="0" w:color="auto"/>
              <w:bottom w:val="single" w:sz="4" w:space="0" w:color="auto"/>
              <w:right w:val="single" w:sz="4" w:space="0" w:color="auto"/>
            </w:tcBorders>
            <w:shd w:val="clear" w:color="auto" w:fill="auto"/>
          </w:tcPr>
          <w:p w14:paraId="0DA54A5A"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A5B"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A5C"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A5D"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A5E"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A5F"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60" w14:textId="77777777" w:rsidR="00CA353F" w:rsidRDefault="00CA353F">
            <w:pPr>
              <w:ind w:firstLine="60"/>
              <w:jc w:val="right"/>
            </w:pPr>
          </w:p>
        </w:tc>
      </w:tr>
      <w:tr w:rsidR="00CA353F" w14:paraId="0DA54A6C"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62" w14:textId="77777777" w:rsidR="00CA353F" w:rsidRDefault="002C3F58">
            <w:pPr>
              <w:jc w:val="both"/>
            </w:pPr>
            <w:r>
              <w:t>1'.</w:t>
            </w:r>
          </w:p>
        </w:tc>
        <w:tc>
          <w:tcPr>
            <w:tcW w:w="5315" w:type="dxa"/>
            <w:tcBorders>
              <w:top w:val="nil"/>
              <w:left w:val="nil"/>
              <w:bottom w:val="single" w:sz="4" w:space="0" w:color="auto"/>
              <w:right w:val="single" w:sz="8" w:space="0" w:color="auto"/>
            </w:tcBorders>
            <w:shd w:val="clear" w:color="auto" w:fill="auto"/>
          </w:tcPr>
          <w:p w14:paraId="0DA54A63" w14:textId="77777777" w:rsidR="00CA353F" w:rsidRDefault="002C3F58">
            <w:r>
              <w:t>Planuojamos gamtinių dujų tiekimo veiklos sąnaudos dėl investicijų, iš viso</w:t>
            </w:r>
          </w:p>
        </w:tc>
        <w:tc>
          <w:tcPr>
            <w:tcW w:w="970" w:type="dxa"/>
            <w:tcBorders>
              <w:top w:val="nil"/>
              <w:left w:val="nil"/>
              <w:bottom w:val="single" w:sz="4" w:space="0" w:color="auto"/>
              <w:right w:val="nil"/>
            </w:tcBorders>
            <w:shd w:val="clear" w:color="auto" w:fill="auto"/>
          </w:tcPr>
          <w:p w14:paraId="0DA54A64"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A65"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A66"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A67"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A68"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A69"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A6A"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6B" w14:textId="77777777" w:rsidR="00CA353F" w:rsidRDefault="00CA353F">
            <w:pPr>
              <w:ind w:firstLine="60"/>
              <w:jc w:val="right"/>
            </w:pPr>
          </w:p>
        </w:tc>
      </w:tr>
      <w:tr w:rsidR="00CA353F" w14:paraId="0DA54A77"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6D" w14:textId="77777777" w:rsidR="00CA353F" w:rsidRDefault="002C3F58">
            <w:pPr>
              <w:jc w:val="both"/>
            </w:pPr>
            <w:r>
              <w:t>2.</w:t>
            </w:r>
          </w:p>
        </w:tc>
        <w:tc>
          <w:tcPr>
            <w:tcW w:w="5315" w:type="dxa"/>
            <w:tcBorders>
              <w:top w:val="nil"/>
              <w:left w:val="nil"/>
              <w:bottom w:val="single" w:sz="4" w:space="0" w:color="auto"/>
              <w:right w:val="single" w:sz="8" w:space="0" w:color="auto"/>
            </w:tcBorders>
            <w:shd w:val="clear" w:color="auto" w:fill="auto"/>
          </w:tcPr>
          <w:p w14:paraId="0DA54A6E" w14:textId="77777777" w:rsidR="00CA353F" w:rsidRDefault="002C3F58">
            <w:r>
              <w:t>Dujų pirkimo (importo) sąnaudos</w:t>
            </w:r>
          </w:p>
        </w:tc>
        <w:tc>
          <w:tcPr>
            <w:tcW w:w="970" w:type="dxa"/>
            <w:tcBorders>
              <w:top w:val="nil"/>
              <w:left w:val="nil"/>
              <w:bottom w:val="single" w:sz="4" w:space="0" w:color="auto"/>
              <w:right w:val="nil"/>
            </w:tcBorders>
            <w:shd w:val="clear" w:color="auto" w:fill="auto"/>
          </w:tcPr>
          <w:p w14:paraId="0DA54A6F"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A70" w14:textId="77777777" w:rsidR="00CA353F" w:rsidRDefault="00CA353F">
            <w:pPr>
              <w:ind w:firstLine="60"/>
              <w:jc w:val="center"/>
              <w:rPr>
                <w:b/>
                <w:bCs/>
              </w:rPr>
            </w:pPr>
          </w:p>
        </w:tc>
        <w:tc>
          <w:tcPr>
            <w:tcW w:w="1180" w:type="dxa"/>
            <w:tcBorders>
              <w:top w:val="nil"/>
              <w:left w:val="nil"/>
              <w:bottom w:val="single" w:sz="4" w:space="0" w:color="auto"/>
              <w:right w:val="single" w:sz="4" w:space="0" w:color="auto"/>
            </w:tcBorders>
            <w:shd w:val="clear" w:color="auto" w:fill="auto"/>
          </w:tcPr>
          <w:p w14:paraId="0DA54A71" w14:textId="77777777" w:rsidR="00CA353F" w:rsidRDefault="00CA353F">
            <w:pPr>
              <w:ind w:firstLine="60"/>
              <w:jc w:val="center"/>
              <w:rPr>
                <w:b/>
                <w:bCs/>
              </w:rPr>
            </w:pPr>
          </w:p>
        </w:tc>
        <w:tc>
          <w:tcPr>
            <w:tcW w:w="1220" w:type="dxa"/>
            <w:tcBorders>
              <w:top w:val="nil"/>
              <w:left w:val="nil"/>
              <w:bottom w:val="single" w:sz="4" w:space="0" w:color="auto"/>
              <w:right w:val="single" w:sz="4" w:space="0" w:color="auto"/>
            </w:tcBorders>
            <w:shd w:val="clear" w:color="auto" w:fill="auto"/>
          </w:tcPr>
          <w:p w14:paraId="0DA54A72" w14:textId="77777777" w:rsidR="00CA353F" w:rsidRDefault="00CA353F">
            <w:pPr>
              <w:ind w:firstLine="60"/>
              <w:jc w:val="center"/>
              <w:rPr>
                <w:b/>
                <w:bCs/>
              </w:rPr>
            </w:pPr>
          </w:p>
        </w:tc>
        <w:tc>
          <w:tcPr>
            <w:tcW w:w="1320" w:type="dxa"/>
            <w:tcBorders>
              <w:top w:val="nil"/>
              <w:left w:val="nil"/>
              <w:bottom w:val="single" w:sz="4" w:space="0" w:color="auto"/>
              <w:right w:val="single" w:sz="4" w:space="0" w:color="auto"/>
            </w:tcBorders>
            <w:shd w:val="clear" w:color="auto" w:fill="auto"/>
          </w:tcPr>
          <w:p w14:paraId="0DA54A73" w14:textId="77777777" w:rsidR="00CA353F" w:rsidRDefault="00CA353F">
            <w:pPr>
              <w:ind w:firstLine="60"/>
              <w:jc w:val="center"/>
              <w:rPr>
                <w:b/>
                <w:bCs/>
              </w:rPr>
            </w:pPr>
          </w:p>
        </w:tc>
        <w:tc>
          <w:tcPr>
            <w:tcW w:w="1280" w:type="dxa"/>
            <w:tcBorders>
              <w:top w:val="nil"/>
              <w:left w:val="nil"/>
              <w:bottom w:val="single" w:sz="4" w:space="0" w:color="auto"/>
              <w:right w:val="nil"/>
            </w:tcBorders>
            <w:shd w:val="clear" w:color="auto" w:fill="auto"/>
          </w:tcPr>
          <w:p w14:paraId="0DA54A74" w14:textId="77777777" w:rsidR="00CA353F" w:rsidRDefault="00CA353F">
            <w:pPr>
              <w:ind w:firstLine="60"/>
              <w:jc w:val="center"/>
              <w:rPr>
                <w:b/>
                <w:bCs/>
              </w:rPr>
            </w:pPr>
          </w:p>
        </w:tc>
        <w:tc>
          <w:tcPr>
            <w:tcW w:w="1320" w:type="dxa"/>
            <w:tcBorders>
              <w:top w:val="nil"/>
              <w:left w:val="single" w:sz="4" w:space="0" w:color="auto"/>
              <w:bottom w:val="single" w:sz="4" w:space="0" w:color="auto"/>
              <w:right w:val="single" w:sz="4" w:space="0" w:color="auto"/>
            </w:tcBorders>
            <w:shd w:val="clear" w:color="auto" w:fill="auto"/>
          </w:tcPr>
          <w:p w14:paraId="0DA54A75"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76" w14:textId="77777777" w:rsidR="00CA353F" w:rsidRDefault="00CA353F">
            <w:pPr>
              <w:ind w:firstLine="60"/>
              <w:jc w:val="right"/>
            </w:pPr>
          </w:p>
        </w:tc>
      </w:tr>
      <w:tr w:rsidR="00CA353F" w14:paraId="0DA54A82"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78" w14:textId="77777777" w:rsidR="00CA353F" w:rsidRDefault="002C3F58">
            <w:pPr>
              <w:jc w:val="both"/>
            </w:pPr>
            <w:r>
              <w:t>2.1.</w:t>
            </w:r>
          </w:p>
        </w:tc>
        <w:tc>
          <w:tcPr>
            <w:tcW w:w="5315" w:type="dxa"/>
            <w:tcBorders>
              <w:top w:val="nil"/>
              <w:left w:val="nil"/>
              <w:bottom w:val="single" w:sz="4" w:space="0" w:color="auto"/>
              <w:right w:val="single" w:sz="8" w:space="0" w:color="auto"/>
            </w:tcBorders>
            <w:shd w:val="clear" w:color="auto" w:fill="auto"/>
          </w:tcPr>
          <w:p w14:paraId="0DA54A79" w14:textId="77777777" w:rsidR="00CA353F" w:rsidRDefault="002C3F58">
            <w:r>
              <w:t>Nupirktų (importuotų) dujų kaina:</w:t>
            </w:r>
          </w:p>
        </w:tc>
        <w:tc>
          <w:tcPr>
            <w:tcW w:w="970" w:type="dxa"/>
            <w:tcBorders>
              <w:top w:val="nil"/>
              <w:left w:val="nil"/>
              <w:bottom w:val="single" w:sz="4" w:space="0" w:color="auto"/>
              <w:right w:val="nil"/>
            </w:tcBorders>
            <w:shd w:val="clear" w:color="auto" w:fill="auto"/>
          </w:tcPr>
          <w:p w14:paraId="0DA54A7A"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A7B" w14:textId="77777777" w:rsidR="00CA353F" w:rsidRDefault="00CA353F">
            <w:pPr>
              <w:ind w:firstLine="60"/>
              <w:jc w:val="center"/>
              <w:rPr>
                <w:b/>
                <w:bCs/>
              </w:rPr>
            </w:pPr>
          </w:p>
        </w:tc>
        <w:tc>
          <w:tcPr>
            <w:tcW w:w="1180" w:type="dxa"/>
            <w:tcBorders>
              <w:top w:val="nil"/>
              <w:left w:val="nil"/>
              <w:bottom w:val="single" w:sz="4" w:space="0" w:color="auto"/>
              <w:right w:val="single" w:sz="4" w:space="0" w:color="auto"/>
            </w:tcBorders>
            <w:shd w:val="clear" w:color="auto" w:fill="auto"/>
          </w:tcPr>
          <w:p w14:paraId="0DA54A7C" w14:textId="77777777" w:rsidR="00CA353F" w:rsidRDefault="00CA353F">
            <w:pPr>
              <w:ind w:firstLine="60"/>
              <w:jc w:val="center"/>
              <w:rPr>
                <w:b/>
                <w:bCs/>
              </w:rPr>
            </w:pPr>
          </w:p>
        </w:tc>
        <w:tc>
          <w:tcPr>
            <w:tcW w:w="1220" w:type="dxa"/>
            <w:tcBorders>
              <w:top w:val="nil"/>
              <w:left w:val="nil"/>
              <w:bottom w:val="single" w:sz="4" w:space="0" w:color="auto"/>
              <w:right w:val="single" w:sz="4" w:space="0" w:color="auto"/>
            </w:tcBorders>
            <w:shd w:val="clear" w:color="auto" w:fill="auto"/>
          </w:tcPr>
          <w:p w14:paraId="0DA54A7D" w14:textId="77777777" w:rsidR="00CA353F" w:rsidRDefault="00CA353F">
            <w:pPr>
              <w:ind w:firstLine="60"/>
              <w:jc w:val="center"/>
              <w:rPr>
                <w:b/>
                <w:bCs/>
              </w:rPr>
            </w:pPr>
          </w:p>
        </w:tc>
        <w:tc>
          <w:tcPr>
            <w:tcW w:w="1320" w:type="dxa"/>
            <w:tcBorders>
              <w:top w:val="nil"/>
              <w:left w:val="nil"/>
              <w:bottom w:val="single" w:sz="4" w:space="0" w:color="auto"/>
              <w:right w:val="single" w:sz="4" w:space="0" w:color="auto"/>
            </w:tcBorders>
            <w:shd w:val="clear" w:color="auto" w:fill="auto"/>
          </w:tcPr>
          <w:p w14:paraId="0DA54A7E" w14:textId="77777777" w:rsidR="00CA353F" w:rsidRDefault="00CA353F">
            <w:pPr>
              <w:ind w:firstLine="60"/>
              <w:jc w:val="center"/>
              <w:rPr>
                <w:b/>
                <w:bCs/>
              </w:rPr>
            </w:pPr>
          </w:p>
        </w:tc>
        <w:tc>
          <w:tcPr>
            <w:tcW w:w="1280" w:type="dxa"/>
            <w:tcBorders>
              <w:top w:val="nil"/>
              <w:left w:val="nil"/>
              <w:bottom w:val="single" w:sz="4" w:space="0" w:color="auto"/>
              <w:right w:val="nil"/>
            </w:tcBorders>
            <w:shd w:val="clear" w:color="auto" w:fill="auto"/>
          </w:tcPr>
          <w:p w14:paraId="0DA54A7F" w14:textId="77777777" w:rsidR="00CA353F" w:rsidRDefault="00CA353F">
            <w:pPr>
              <w:ind w:firstLine="60"/>
              <w:jc w:val="center"/>
              <w:rPr>
                <w:b/>
                <w:bCs/>
              </w:rPr>
            </w:pPr>
          </w:p>
        </w:tc>
        <w:tc>
          <w:tcPr>
            <w:tcW w:w="1320" w:type="dxa"/>
            <w:tcBorders>
              <w:top w:val="nil"/>
              <w:left w:val="single" w:sz="4" w:space="0" w:color="auto"/>
              <w:bottom w:val="single" w:sz="4" w:space="0" w:color="auto"/>
              <w:right w:val="single" w:sz="4" w:space="0" w:color="auto"/>
            </w:tcBorders>
            <w:shd w:val="clear" w:color="auto" w:fill="auto"/>
          </w:tcPr>
          <w:p w14:paraId="0DA54A80"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81" w14:textId="77777777" w:rsidR="00CA353F" w:rsidRDefault="00CA353F">
            <w:pPr>
              <w:ind w:firstLine="60"/>
              <w:jc w:val="right"/>
            </w:pPr>
          </w:p>
        </w:tc>
      </w:tr>
      <w:tr w:rsidR="00CA353F" w14:paraId="0DA54A8D"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83" w14:textId="77777777" w:rsidR="00CA353F" w:rsidRDefault="002C3F58">
            <w:pPr>
              <w:jc w:val="both"/>
            </w:pPr>
            <w:r>
              <w:t>2.1.1.</w:t>
            </w:r>
          </w:p>
        </w:tc>
        <w:tc>
          <w:tcPr>
            <w:tcW w:w="5315" w:type="dxa"/>
            <w:tcBorders>
              <w:top w:val="nil"/>
              <w:left w:val="nil"/>
              <w:bottom w:val="single" w:sz="4" w:space="0" w:color="auto"/>
              <w:right w:val="single" w:sz="8" w:space="0" w:color="auto"/>
            </w:tcBorders>
            <w:shd w:val="clear" w:color="auto" w:fill="auto"/>
          </w:tcPr>
          <w:p w14:paraId="0DA54A84" w14:textId="77777777" w:rsidR="00CA353F" w:rsidRDefault="002C3F58">
            <w:pPr>
              <w:ind w:firstLine="567"/>
            </w:pPr>
            <w:r>
              <w:t>iš AAB „Gazprom“</w:t>
            </w:r>
          </w:p>
        </w:tc>
        <w:tc>
          <w:tcPr>
            <w:tcW w:w="970" w:type="dxa"/>
            <w:tcBorders>
              <w:top w:val="nil"/>
              <w:left w:val="nil"/>
              <w:bottom w:val="single" w:sz="4" w:space="0" w:color="auto"/>
              <w:right w:val="nil"/>
            </w:tcBorders>
            <w:shd w:val="clear" w:color="auto" w:fill="auto"/>
          </w:tcPr>
          <w:p w14:paraId="0DA54A85"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A86" w14:textId="77777777" w:rsidR="00CA353F" w:rsidRDefault="00CA353F">
            <w:pPr>
              <w:ind w:firstLine="60"/>
              <w:jc w:val="center"/>
              <w:rPr>
                <w:b/>
                <w:bCs/>
              </w:rPr>
            </w:pPr>
          </w:p>
        </w:tc>
        <w:tc>
          <w:tcPr>
            <w:tcW w:w="1180" w:type="dxa"/>
            <w:tcBorders>
              <w:top w:val="nil"/>
              <w:left w:val="nil"/>
              <w:bottom w:val="single" w:sz="4" w:space="0" w:color="auto"/>
              <w:right w:val="single" w:sz="4" w:space="0" w:color="auto"/>
            </w:tcBorders>
            <w:shd w:val="clear" w:color="auto" w:fill="auto"/>
          </w:tcPr>
          <w:p w14:paraId="0DA54A87" w14:textId="77777777" w:rsidR="00CA353F" w:rsidRDefault="00CA353F">
            <w:pPr>
              <w:ind w:firstLine="60"/>
              <w:jc w:val="center"/>
              <w:rPr>
                <w:b/>
                <w:bCs/>
              </w:rPr>
            </w:pPr>
          </w:p>
        </w:tc>
        <w:tc>
          <w:tcPr>
            <w:tcW w:w="1220" w:type="dxa"/>
            <w:tcBorders>
              <w:top w:val="nil"/>
              <w:left w:val="nil"/>
              <w:bottom w:val="single" w:sz="4" w:space="0" w:color="auto"/>
              <w:right w:val="single" w:sz="4" w:space="0" w:color="auto"/>
            </w:tcBorders>
            <w:shd w:val="clear" w:color="auto" w:fill="auto"/>
          </w:tcPr>
          <w:p w14:paraId="0DA54A88" w14:textId="77777777" w:rsidR="00CA353F" w:rsidRDefault="00CA353F">
            <w:pPr>
              <w:ind w:firstLine="60"/>
              <w:jc w:val="center"/>
              <w:rPr>
                <w:b/>
                <w:bCs/>
              </w:rPr>
            </w:pPr>
          </w:p>
        </w:tc>
        <w:tc>
          <w:tcPr>
            <w:tcW w:w="1320" w:type="dxa"/>
            <w:tcBorders>
              <w:top w:val="nil"/>
              <w:left w:val="nil"/>
              <w:bottom w:val="single" w:sz="4" w:space="0" w:color="auto"/>
              <w:right w:val="single" w:sz="4" w:space="0" w:color="auto"/>
            </w:tcBorders>
            <w:shd w:val="clear" w:color="auto" w:fill="auto"/>
          </w:tcPr>
          <w:p w14:paraId="0DA54A89" w14:textId="77777777" w:rsidR="00CA353F" w:rsidRDefault="00CA353F">
            <w:pPr>
              <w:ind w:firstLine="60"/>
              <w:jc w:val="center"/>
              <w:rPr>
                <w:b/>
                <w:bCs/>
              </w:rPr>
            </w:pPr>
          </w:p>
        </w:tc>
        <w:tc>
          <w:tcPr>
            <w:tcW w:w="1280" w:type="dxa"/>
            <w:tcBorders>
              <w:top w:val="nil"/>
              <w:left w:val="nil"/>
              <w:bottom w:val="single" w:sz="4" w:space="0" w:color="auto"/>
              <w:right w:val="nil"/>
            </w:tcBorders>
            <w:shd w:val="clear" w:color="auto" w:fill="auto"/>
          </w:tcPr>
          <w:p w14:paraId="0DA54A8A" w14:textId="77777777" w:rsidR="00CA353F" w:rsidRDefault="00CA353F">
            <w:pPr>
              <w:ind w:firstLine="60"/>
              <w:jc w:val="center"/>
              <w:rPr>
                <w:b/>
                <w:bCs/>
              </w:rPr>
            </w:pPr>
          </w:p>
        </w:tc>
        <w:tc>
          <w:tcPr>
            <w:tcW w:w="1320" w:type="dxa"/>
            <w:tcBorders>
              <w:top w:val="nil"/>
              <w:left w:val="single" w:sz="4" w:space="0" w:color="auto"/>
              <w:bottom w:val="single" w:sz="4" w:space="0" w:color="auto"/>
              <w:right w:val="single" w:sz="4" w:space="0" w:color="auto"/>
            </w:tcBorders>
            <w:shd w:val="clear" w:color="auto" w:fill="auto"/>
          </w:tcPr>
          <w:p w14:paraId="0DA54A8B"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8C" w14:textId="77777777" w:rsidR="00CA353F" w:rsidRDefault="00CA353F">
            <w:pPr>
              <w:ind w:firstLine="60"/>
              <w:jc w:val="right"/>
            </w:pPr>
          </w:p>
        </w:tc>
      </w:tr>
      <w:tr w:rsidR="00CA353F" w14:paraId="0DA54A98"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8E" w14:textId="77777777" w:rsidR="00CA353F" w:rsidRDefault="002C3F58">
            <w:pPr>
              <w:jc w:val="both"/>
            </w:pPr>
            <w:r>
              <w:t>2.1.2.</w:t>
            </w:r>
          </w:p>
        </w:tc>
        <w:tc>
          <w:tcPr>
            <w:tcW w:w="5315" w:type="dxa"/>
            <w:tcBorders>
              <w:top w:val="nil"/>
              <w:left w:val="nil"/>
              <w:bottom w:val="single" w:sz="4" w:space="0" w:color="auto"/>
              <w:right w:val="single" w:sz="8" w:space="0" w:color="auto"/>
            </w:tcBorders>
            <w:shd w:val="clear" w:color="auto" w:fill="auto"/>
          </w:tcPr>
          <w:p w14:paraId="0DA54A8F" w14:textId="77777777" w:rsidR="00CA353F" w:rsidRDefault="002C3F58">
            <w:pPr>
              <w:ind w:firstLine="567"/>
            </w:pPr>
            <w:r>
              <w:t>iš kitų (išvardinti)</w:t>
            </w:r>
          </w:p>
        </w:tc>
        <w:tc>
          <w:tcPr>
            <w:tcW w:w="970" w:type="dxa"/>
            <w:tcBorders>
              <w:top w:val="nil"/>
              <w:left w:val="nil"/>
              <w:bottom w:val="single" w:sz="4" w:space="0" w:color="auto"/>
              <w:right w:val="nil"/>
            </w:tcBorders>
            <w:shd w:val="clear" w:color="auto" w:fill="auto"/>
          </w:tcPr>
          <w:p w14:paraId="0DA54A90"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A91" w14:textId="77777777" w:rsidR="00CA353F" w:rsidRDefault="00CA353F">
            <w:pPr>
              <w:ind w:firstLine="60"/>
              <w:jc w:val="center"/>
              <w:rPr>
                <w:b/>
                <w:bCs/>
              </w:rPr>
            </w:pPr>
          </w:p>
        </w:tc>
        <w:tc>
          <w:tcPr>
            <w:tcW w:w="1180" w:type="dxa"/>
            <w:tcBorders>
              <w:top w:val="nil"/>
              <w:left w:val="nil"/>
              <w:bottom w:val="single" w:sz="4" w:space="0" w:color="auto"/>
              <w:right w:val="single" w:sz="4" w:space="0" w:color="auto"/>
            </w:tcBorders>
            <w:shd w:val="clear" w:color="auto" w:fill="auto"/>
          </w:tcPr>
          <w:p w14:paraId="0DA54A92" w14:textId="77777777" w:rsidR="00CA353F" w:rsidRDefault="00CA353F">
            <w:pPr>
              <w:ind w:firstLine="60"/>
              <w:jc w:val="center"/>
              <w:rPr>
                <w:b/>
                <w:bCs/>
              </w:rPr>
            </w:pPr>
          </w:p>
        </w:tc>
        <w:tc>
          <w:tcPr>
            <w:tcW w:w="1220" w:type="dxa"/>
            <w:tcBorders>
              <w:top w:val="nil"/>
              <w:left w:val="nil"/>
              <w:bottom w:val="single" w:sz="4" w:space="0" w:color="auto"/>
              <w:right w:val="single" w:sz="4" w:space="0" w:color="auto"/>
            </w:tcBorders>
            <w:shd w:val="clear" w:color="auto" w:fill="auto"/>
          </w:tcPr>
          <w:p w14:paraId="0DA54A93" w14:textId="77777777" w:rsidR="00CA353F" w:rsidRDefault="00CA353F">
            <w:pPr>
              <w:ind w:firstLine="60"/>
              <w:jc w:val="center"/>
              <w:rPr>
                <w:b/>
                <w:bCs/>
              </w:rPr>
            </w:pPr>
          </w:p>
        </w:tc>
        <w:tc>
          <w:tcPr>
            <w:tcW w:w="1320" w:type="dxa"/>
            <w:tcBorders>
              <w:top w:val="nil"/>
              <w:left w:val="nil"/>
              <w:bottom w:val="single" w:sz="4" w:space="0" w:color="auto"/>
              <w:right w:val="single" w:sz="4" w:space="0" w:color="auto"/>
            </w:tcBorders>
            <w:shd w:val="clear" w:color="auto" w:fill="auto"/>
          </w:tcPr>
          <w:p w14:paraId="0DA54A94" w14:textId="77777777" w:rsidR="00CA353F" w:rsidRDefault="00CA353F">
            <w:pPr>
              <w:ind w:firstLine="60"/>
              <w:jc w:val="center"/>
              <w:rPr>
                <w:b/>
                <w:bCs/>
              </w:rPr>
            </w:pPr>
          </w:p>
        </w:tc>
        <w:tc>
          <w:tcPr>
            <w:tcW w:w="1280" w:type="dxa"/>
            <w:tcBorders>
              <w:top w:val="nil"/>
              <w:left w:val="nil"/>
              <w:bottom w:val="single" w:sz="4" w:space="0" w:color="auto"/>
              <w:right w:val="nil"/>
            </w:tcBorders>
            <w:shd w:val="clear" w:color="auto" w:fill="auto"/>
          </w:tcPr>
          <w:p w14:paraId="0DA54A95" w14:textId="77777777" w:rsidR="00CA353F" w:rsidRDefault="00CA353F">
            <w:pPr>
              <w:ind w:firstLine="60"/>
              <w:jc w:val="center"/>
              <w:rPr>
                <w:b/>
                <w:bCs/>
              </w:rPr>
            </w:pPr>
          </w:p>
        </w:tc>
        <w:tc>
          <w:tcPr>
            <w:tcW w:w="1320" w:type="dxa"/>
            <w:tcBorders>
              <w:top w:val="nil"/>
              <w:left w:val="single" w:sz="4" w:space="0" w:color="auto"/>
              <w:bottom w:val="single" w:sz="4" w:space="0" w:color="auto"/>
              <w:right w:val="single" w:sz="4" w:space="0" w:color="auto"/>
            </w:tcBorders>
            <w:shd w:val="clear" w:color="auto" w:fill="auto"/>
          </w:tcPr>
          <w:p w14:paraId="0DA54A96"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97" w14:textId="77777777" w:rsidR="00CA353F" w:rsidRDefault="00CA353F">
            <w:pPr>
              <w:ind w:firstLine="60"/>
              <w:jc w:val="right"/>
            </w:pPr>
          </w:p>
        </w:tc>
      </w:tr>
      <w:tr w:rsidR="00CA353F" w14:paraId="0DA54AA3"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99" w14:textId="77777777" w:rsidR="00CA353F" w:rsidRDefault="002C3F58">
            <w:pPr>
              <w:jc w:val="both"/>
            </w:pPr>
            <w:r>
              <w:t>3.</w:t>
            </w:r>
          </w:p>
        </w:tc>
        <w:tc>
          <w:tcPr>
            <w:tcW w:w="5315" w:type="dxa"/>
            <w:tcBorders>
              <w:top w:val="nil"/>
              <w:left w:val="nil"/>
              <w:bottom w:val="single" w:sz="4" w:space="0" w:color="auto"/>
              <w:right w:val="single" w:sz="8" w:space="0" w:color="auto"/>
            </w:tcBorders>
            <w:shd w:val="clear" w:color="auto" w:fill="auto"/>
          </w:tcPr>
          <w:p w14:paraId="0DA54A9A" w14:textId="77777777" w:rsidR="00CA353F" w:rsidRDefault="002C3F58">
            <w:r>
              <w:t>Eksploatacinės sąnaudos, iš viso</w:t>
            </w:r>
          </w:p>
        </w:tc>
        <w:tc>
          <w:tcPr>
            <w:tcW w:w="970" w:type="dxa"/>
            <w:tcBorders>
              <w:top w:val="nil"/>
              <w:left w:val="nil"/>
              <w:bottom w:val="single" w:sz="4" w:space="0" w:color="auto"/>
              <w:right w:val="nil"/>
            </w:tcBorders>
            <w:shd w:val="clear" w:color="auto" w:fill="auto"/>
          </w:tcPr>
          <w:p w14:paraId="0DA54A9B"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A9C"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A9D"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A9E"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A9F"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AA0"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AA1"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A2" w14:textId="77777777" w:rsidR="00CA353F" w:rsidRDefault="00CA353F">
            <w:pPr>
              <w:ind w:firstLine="60"/>
              <w:jc w:val="right"/>
            </w:pPr>
          </w:p>
        </w:tc>
      </w:tr>
      <w:tr w:rsidR="00CA353F" w14:paraId="0DA54AAE"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A4" w14:textId="77777777" w:rsidR="00CA353F" w:rsidRDefault="002C3F58">
            <w:pPr>
              <w:jc w:val="both"/>
            </w:pPr>
            <w:r>
              <w:t>3'.</w:t>
            </w:r>
          </w:p>
        </w:tc>
        <w:tc>
          <w:tcPr>
            <w:tcW w:w="5315" w:type="dxa"/>
            <w:tcBorders>
              <w:top w:val="nil"/>
              <w:left w:val="nil"/>
              <w:bottom w:val="single" w:sz="4" w:space="0" w:color="auto"/>
              <w:right w:val="single" w:sz="8" w:space="0" w:color="auto"/>
            </w:tcBorders>
            <w:shd w:val="clear" w:color="auto" w:fill="auto"/>
          </w:tcPr>
          <w:p w14:paraId="0DA54AA5" w14:textId="77777777" w:rsidR="00CA353F" w:rsidRDefault="002C3F58">
            <w:r>
              <w:t>Planuojamos eksploatacinės sąnaudos dėl investicijų, iš viso</w:t>
            </w:r>
          </w:p>
        </w:tc>
        <w:tc>
          <w:tcPr>
            <w:tcW w:w="970" w:type="dxa"/>
            <w:tcBorders>
              <w:top w:val="nil"/>
              <w:left w:val="nil"/>
              <w:bottom w:val="single" w:sz="4" w:space="0" w:color="auto"/>
              <w:right w:val="nil"/>
            </w:tcBorders>
            <w:shd w:val="clear" w:color="auto" w:fill="auto"/>
          </w:tcPr>
          <w:p w14:paraId="0DA54AA6"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AA7"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AA8"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AA9"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AAA"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AAB"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AAC"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AD" w14:textId="77777777" w:rsidR="00CA353F" w:rsidRDefault="00CA353F">
            <w:pPr>
              <w:ind w:firstLine="60"/>
              <w:jc w:val="right"/>
            </w:pPr>
          </w:p>
        </w:tc>
      </w:tr>
      <w:tr w:rsidR="00CA353F" w14:paraId="0DA54AB9"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AF" w14:textId="77777777" w:rsidR="00CA353F" w:rsidRDefault="002C3F58">
            <w:pPr>
              <w:jc w:val="both"/>
            </w:pPr>
            <w:r>
              <w:t>3.1.</w:t>
            </w:r>
          </w:p>
        </w:tc>
        <w:tc>
          <w:tcPr>
            <w:tcW w:w="5315" w:type="dxa"/>
            <w:tcBorders>
              <w:top w:val="nil"/>
              <w:left w:val="nil"/>
              <w:bottom w:val="single" w:sz="4" w:space="0" w:color="auto"/>
              <w:right w:val="single" w:sz="8" w:space="0" w:color="auto"/>
            </w:tcBorders>
            <w:shd w:val="clear" w:color="auto" w:fill="auto"/>
          </w:tcPr>
          <w:p w14:paraId="0DA54AB0" w14:textId="77777777" w:rsidR="00CA353F" w:rsidRDefault="002C3F58">
            <w:r>
              <w:t xml:space="preserve">Materialinės ir joms prilygintos </w:t>
            </w:r>
            <w:r>
              <w:lastRenderedPageBreak/>
              <w:t>sąnaudos, iš viso</w:t>
            </w:r>
          </w:p>
        </w:tc>
        <w:tc>
          <w:tcPr>
            <w:tcW w:w="970" w:type="dxa"/>
            <w:tcBorders>
              <w:top w:val="nil"/>
              <w:left w:val="nil"/>
              <w:bottom w:val="single" w:sz="4" w:space="0" w:color="auto"/>
              <w:right w:val="nil"/>
            </w:tcBorders>
            <w:shd w:val="clear" w:color="auto" w:fill="auto"/>
          </w:tcPr>
          <w:p w14:paraId="0DA54AB1" w14:textId="77777777" w:rsidR="00CA353F" w:rsidRDefault="002C3F58">
            <w:pPr>
              <w:jc w:val="center"/>
            </w:pPr>
            <w:r>
              <w:lastRenderedPageBreak/>
              <w:t>"</w:t>
            </w:r>
          </w:p>
        </w:tc>
        <w:tc>
          <w:tcPr>
            <w:tcW w:w="1200" w:type="dxa"/>
            <w:tcBorders>
              <w:top w:val="nil"/>
              <w:left w:val="single" w:sz="8" w:space="0" w:color="auto"/>
              <w:bottom w:val="single" w:sz="4" w:space="0" w:color="auto"/>
              <w:right w:val="single" w:sz="4" w:space="0" w:color="auto"/>
            </w:tcBorders>
            <w:shd w:val="clear" w:color="auto" w:fill="auto"/>
          </w:tcPr>
          <w:p w14:paraId="0DA54AB2"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AB3"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AB4"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AB5"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AB6"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AB7"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B8" w14:textId="77777777" w:rsidR="00CA353F" w:rsidRDefault="00CA353F">
            <w:pPr>
              <w:ind w:firstLine="60"/>
              <w:jc w:val="right"/>
            </w:pPr>
          </w:p>
        </w:tc>
      </w:tr>
      <w:tr w:rsidR="00CA353F" w14:paraId="0DA54AC4"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BA" w14:textId="77777777" w:rsidR="00CA353F" w:rsidRDefault="002C3F58">
            <w:pPr>
              <w:jc w:val="both"/>
            </w:pPr>
            <w:r>
              <w:lastRenderedPageBreak/>
              <w:t>3.1'.</w:t>
            </w:r>
          </w:p>
        </w:tc>
        <w:tc>
          <w:tcPr>
            <w:tcW w:w="5315" w:type="dxa"/>
            <w:tcBorders>
              <w:top w:val="nil"/>
              <w:left w:val="nil"/>
              <w:bottom w:val="single" w:sz="4" w:space="0" w:color="auto"/>
              <w:right w:val="single" w:sz="8" w:space="0" w:color="auto"/>
            </w:tcBorders>
            <w:shd w:val="clear" w:color="auto" w:fill="auto"/>
          </w:tcPr>
          <w:p w14:paraId="0DA54ABB" w14:textId="77777777" w:rsidR="00CA353F" w:rsidRDefault="002C3F58">
            <w:r>
              <w:t>Planuojamos materialinės ir joms prilygintos sąnaudos dėl investicijų, iš viso</w:t>
            </w:r>
          </w:p>
        </w:tc>
        <w:tc>
          <w:tcPr>
            <w:tcW w:w="970" w:type="dxa"/>
            <w:tcBorders>
              <w:top w:val="nil"/>
              <w:left w:val="nil"/>
              <w:bottom w:val="single" w:sz="4" w:space="0" w:color="auto"/>
              <w:right w:val="nil"/>
            </w:tcBorders>
            <w:shd w:val="clear" w:color="auto" w:fill="auto"/>
          </w:tcPr>
          <w:p w14:paraId="0DA54ABC"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ABD"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ABE"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ABF"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AC0"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AC1"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AC2"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C3" w14:textId="77777777" w:rsidR="00CA353F" w:rsidRDefault="00CA353F">
            <w:pPr>
              <w:ind w:firstLine="60"/>
              <w:jc w:val="right"/>
            </w:pPr>
          </w:p>
        </w:tc>
      </w:tr>
      <w:tr w:rsidR="00CA353F" w14:paraId="0DA54ACF"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C5" w14:textId="77777777" w:rsidR="00CA353F" w:rsidRDefault="002C3F58">
            <w:pPr>
              <w:jc w:val="both"/>
            </w:pPr>
            <w:r>
              <w:t>3.1.1.</w:t>
            </w:r>
          </w:p>
        </w:tc>
        <w:tc>
          <w:tcPr>
            <w:tcW w:w="5315" w:type="dxa"/>
            <w:tcBorders>
              <w:top w:val="nil"/>
              <w:left w:val="nil"/>
              <w:bottom w:val="single" w:sz="4" w:space="0" w:color="auto"/>
              <w:right w:val="single" w:sz="8" w:space="0" w:color="auto"/>
            </w:tcBorders>
            <w:shd w:val="clear" w:color="auto" w:fill="auto"/>
          </w:tcPr>
          <w:p w14:paraId="0DA54AC6" w14:textId="77777777" w:rsidR="00CA353F" w:rsidRDefault="002C3F58">
            <w:r>
              <w:t>Remonto sąnaudos:</w:t>
            </w:r>
          </w:p>
        </w:tc>
        <w:tc>
          <w:tcPr>
            <w:tcW w:w="970" w:type="dxa"/>
            <w:tcBorders>
              <w:top w:val="nil"/>
              <w:left w:val="nil"/>
              <w:bottom w:val="single" w:sz="4" w:space="0" w:color="auto"/>
              <w:right w:val="nil"/>
            </w:tcBorders>
            <w:shd w:val="clear" w:color="auto" w:fill="auto"/>
          </w:tcPr>
          <w:p w14:paraId="0DA54AC7"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AC8"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AC9"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ACA"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ACB"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ACC"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ACD"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CE" w14:textId="77777777" w:rsidR="00CA353F" w:rsidRDefault="00CA353F">
            <w:pPr>
              <w:ind w:firstLine="60"/>
              <w:jc w:val="right"/>
            </w:pPr>
          </w:p>
        </w:tc>
      </w:tr>
      <w:tr w:rsidR="00CA353F" w14:paraId="0DA54ADA"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D0" w14:textId="77777777" w:rsidR="00CA353F" w:rsidRDefault="002C3F58">
            <w:pPr>
              <w:jc w:val="both"/>
            </w:pPr>
            <w:r>
              <w:t>3.1.1.1.</w:t>
            </w:r>
          </w:p>
        </w:tc>
        <w:tc>
          <w:tcPr>
            <w:tcW w:w="5315" w:type="dxa"/>
            <w:tcBorders>
              <w:top w:val="nil"/>
              <w:left w:val="nil"/>
              <w:bottom w:val="single" w:sz="4" w:space="0" w:color="auto"/>
              <w:right w:val="single" w:sz="8" w:space="0" w:color="auto"/>
            </w:tcBorders>
            <w:shd w:val="clear" w:color="auto" w:fill="auto"/>
          </w:tcPr>
          <w:p w14:paraId="0DA54AD1" w14:textId="77777777" w:rsidR="00CA353F" w:rsidRDefault="002C3F58">
            <w:pPr>
              <w:ind w:firstLine="567"/>
            </w:pPr>
            <w:r>
              <w:t>rangos būdu</w:t>
            </w:r>
          </w:p>
        </w:tc>
        <w:tc>
          <w:tcPr>
            <w:tcW w:w="970" w:type="dxa"/>
            <w:tcBorders>
              <w:top w:val="nil"/>
              <w:left w:val="nil"/>
              <w:bottom w:val="single" w:sz="4" w:space="0" w:color="auto"/>
              <w:right w:val="nil"/>
            </w:tcBorders>
            <w:shd w:val="clear" w:color="auto" w:fill="auto"/>
          </w:tcPr>
          <w:p w14:paraId="0DA54AD2"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AD3"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AD4"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AD5"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AD6"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AD7"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AD8"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D9" w14:textId="77777777" w:rsidR="00CA353F" w:rsidRDefault="00CA353F">
            <w:pPr>
              <w:ind w:firstLine="60"/>
              <w:jc w:val="right"/>
            </w:pPr>
          </w:p>
        </w:tc>
      </w:tr>
      <w:tr w:rsidR="00CA353F" w14:paraId="0DA54AE5"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DB" w14:textId="77777777" w:rsidR="00CA353F" w:rsidRDefault="002C3F58">
            <w:pPr>
              <w:jc w:val="both"/>
            </w:pPr>
            <w:r>
              <w:t>3.1.1.2.</w:t>
            </w:r>
          </w:p>
        </w:tc>
        <w:tc>
          <w:tcPr>
            <w:tcW w:w="5315" w:type="dxa"/>
            <w:tcBorders>
              <w:top w:val="nil"/>
              <w:left w:val="nil"/>
              <w:bottom w:val="single" w:sz="4" w:space="0" w:color="auto"/>
              <w:right w:val="single" w:sz="8" w:space="0" w:color="auto"/>
            </w:tcBorders>
            <w:shd w:val="clear" w:color="auto" w:fill="auto"/>
          </w:tcPr>
          <w:p w14:paraId="0DA54ADC" w14:textId="77777777" w:rsidR="00CA353F" w:rsidRDefault="002C3F58">
            <w:pPr>
              <w:ind w:firstLine="567"/>
            </w:pPr>
            <w:r>
              <w:t>ūkio būdu (be darbo užmokesčio ir soc. draudimo)</w:t>
            </w:r>
          </w:p>
        </w:tc>
        <w:tc>
          <w:tcPr>
            <w:tcW w:w="970" w:type="dxa"/>
            <w:tcBorders>
              <w:top w:val="nil"/>
              <w:left w:val="nil"/>
              <w:bottom w:val="single" w:sz="4" w:space="0" w:color="auto"/>
              <w:right w:val="nil"/>
            </w:tcBorders>
            <w:shd w:val="clear" w:color="auto" w:fill="auto"/>
          </w:tcPr>
          <w:p w14:paraId="0DA54ADD"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ADE"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ADF"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AE0"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AE1"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AE2"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AE3"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E4" w14:textId="77777777" w:rsidR="00CA353F" w:rsidRDefault="00CA353F">
            <w:pPr>
              <w:ind w:firstLine="60"/>
              <w:jc w:val="right"/>
            </w:pPr>
          </w:p>
        </w:tc>
      </w:tr>
      <w:tr w:rsidR="00CA353F" w14:paraId="0DA54AF0"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E6" w14:textId="77777777" w:rsidR="00CA353F" w:rsidRDefault="002C3F58">
            <w:pPr>
              <w:jc w:val="both"/>
            </w:pPr>
            <w:r>
              <w:t>3.1.2.</w:t>
            </w:r>
          </w:p>
        </w:tc>
        <w:tc>
          <w:tcPr>
            <w:tcW w:w="5315" w:type="dxa"/>
            <w:tcBorders>
              <w:top w:val="nil"/>
              <w:left w:val="nil"/>
              <w:bottom w:val="single" w:sz="4" w:space="0" w:color="auto"/>
              <w:right w:val="single" w:sz="8" w:space="0" w:color="auto"/>
            </w:tcBorders>
            <w:shd w:val="clear" w:color="auto" w:fill="auto"/>
          </w:tcPr>
          <w:p w14:paraId="0DA54AE7" w14:textId="77777777" w:rsidR="00CA353F" w:rsidRDefault="002C3F58">
            <w:r>
              <w:t>Techninės priežiūros ir eksploatavimo sąnaudos:</w:t>
            </w:r>
          </w:p>
        </w:tc>
        <w:tc>
          <w:tcPr>
            <w:tcW w:w="970" w:type="dxa"/>
            <w:tcBorders>
              <w:top w:val="nil"/>
              <w:left w:val="nil"/>
              <w:bottom w:val="single" w:sz="4" w:space="0" w:color="auto"/>
              <w:right w:val="nil"/>
            </w:tcBorders>
            <w:shd w:val="clear" w:color="auto" w:fill="auto"/>
          </w:tcPr>
          <w:p w14:paraId="0DA54AE8"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AE9"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AEA"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AEB"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AEC"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AED"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AEE"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EF" w14:textId="77777777" w:rsidR="00CA353F" w:rsidRDefault="00CA353F">
            <w:pPr>
              <w:ind w:firstLine="60"/>
              <w:jc w:val="right"/>
            </w:pPr>
          </w:p>
        </w:tc>
      </w:tr>
      <w:tr w:rsidR="00CA353F" w14:paraId="0DA54AFB"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F1" w14:textId="77777777" w:rsidR="00CA353F" w:rsidRDefault="002C3F58">
            <w:pPr>
              <w:jc w:val="both"/>
            </w:pPr>
            <w:r>
              <w:t>3.1.2.1.</w:t>
            </w:r>
          </w:p>
        </w:tc>
        <w:tc>
          <w:tcPr>
            <w:tcW w:w="5315" w:type="dxa"/>
            <w:tcBorders>
              <w:top w:val="nil"/>
              <w:left w:val="nil"/>
              <w:bottom w:val="single" w:sz="4" w:space="0" w:color="auto"/>
              <w:right w:val="single" w:sz="8" w:space="0" w:color="auto"/>
            </w:tcBorders>
            <w:shd w:val="clear" w:color="auto" w:fill="auto"/>
          </w:tcPr>
          <w:p w14:paraId="0DA54AF2" w14:textId="77777777" w:rsidR="00CA353F" w:rsidRDefault="002C3F58">
            <w:pPr>
              <w:ind w:firstLine="567"/>
            </w:pPr>
            <w:r>
              <w:t>medžiagos, atsarginės dalys, mažavertis inventorius</w:t>
            </w:r>
          </w:p>
        </w:tc>
        <w:tc>
          <w:tcPr>
            <w:tcW w:w="970" w:type="dxa"/>
            <w:tcBorders>
              <w:top w:val="nil"/>
              <w:left w:val="nil"/>
              <w:bottom w:val="single" w:sz="4" w:space="0" w:color="auto"/>
              <w:right w:val="nil"/>
            </w:tcBorders>
            <w:shd w:val="clear" w:color="auto" w:fill="auto"/>
          </w:tcPr>
          <w:p w14:paraId="0DA54AF3"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AF4"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AF5"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AF6"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AF7"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AF8"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AF9"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AFA" w14:textId="77777777" w:rsidR="00CA353F" w:rsidRDefault="00CA353F">
            <w:pPr>
              <w:ind w:firstLine="60"/>
              <w:jc w:val="right"/>
            </w:pPr>
          </w:p>
        </w:tc>
      </w:tr>
      <w:tr w:rsidR="00CA353F" w14:paraId="0DA54B06"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AFC" w14:textId="77777777" w:rsidR="00CA353F" w:rsidRDefault="002C3F58">
            <w:pPr>
              <w:jc w:val="both"/>
            </w:pPr>
            <w:r>
              <w:t>3.1.2.2.</w:t>
            </w:r>
          </w:p>
        </w:tc>
        <w:tc>
          <w:tcPr>
            <w:tcW w:w="5315" w:type="dxa"/>
            <w:tcBorders>
              <w:top w:val="nil"/>
              <w:left w:val="nil"/>
              <w:bottom w:val="single" w:sz="4" w:space="0" w:color="auto"/>
              <w:right w:val="single" w:sz="8" w:space="0" w:color="auto"/>
            </w:tcBorders>
            <w:shd w:val="clear" w:color="auto" w:fill="auto"/>
          </w:tcPr>
          <w:p w14:paraId="0DA54AFD" w14:textId="77777777" w:rsidR="00CA353F" w:rsidRDefault="002C3F58">
            <w:pPr>
              <w:ind w:firstLine="567"/>
            </w:pPr>
            <w:r>
              <w:t>kuras</w:t>
            </w:r>
          </w:p>
        </w:tc>
        <w:tc>
          <w:tcPr>
            <w:tcW w:w="970" w:type="dxa"/>
            <w:tcBorders>
              <w:top w:val="nil"/>
              <w:left w:val="nil"/>
              <w:bottom w:val="single" w:sz="4" w:space="0" w:color="auto"/>
              <w:right w:val="nil"/>
            </w:tcBorders>
            <w:shd w:val="clear" w:color="auto" w:fill="auto"/>
          </w:tcPr>
          <w:p w14:paraId="0DA54AFE"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AFF"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00"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01"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02"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03"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04"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05" w14:textId="77777777" w:rsidR="00CA353F" w:rsidRDefault="00CA353F">
            <w:pPr>
              <w:ind w:firstLine="60"/>
              <w:jc w:val="right"/>
            </w:pPr>
          </w:p>
        </w:tc>
      </w:tr>
      <w:tr w:rsidR="00CA353F" w14:paraId="0DA54B11"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07" w14:textId="77777777" w:rsidR="00CA353F" w:rsidRDefault="002C3F58">
            <w:pPr>
              <w:jc w:val="both"/>
            </w:pPr>
            <w:r>
              <w:t>3.1.2.3.</w:t>
            </w:r>
          </w:p>
        </w:tc>
        <w:tc>
          <w:tcPr>
            <w:tcW w:w="5315" w:type="dxa"/>
            <w:tcBorders>
              <w:top w:val="nil"/>
              <w:left w:val="nil"/>
              <w:bottom w:val="single" w:sz="4" w:space="0" w:color="auto"/>
              <w:right w:val="single" w:sz="8" w:space="0" w:color="auto"/>
            </w:tcBorders>
            <w:shd w:val="clear" w:color="auto" w:fill="auto"/>
          </w:tcPr>
          <w:p w14:paraId="0DA54B08" w14:textId="77777777" w:rsidR="00CA353F" w:rsidRDefault="002C3F58">
            <w:pPr>
              <w:ind w:firstLine="567"/>
            </w:pPr>
            <w:r>
              <w:t>elektros energija</w:t>
            </w:r>
          </w:p>
        </w:tc>
        <w:tc>
          <w:tcPr>
            <w:tcW w:w="970" w:type="dxa"/>
            <w:tcBorders>
              <w:top w:val="nil"/>
              <w:left w:val="nil"/>
              <w:bottom w:val="single" w:sz="4" w:space="0" w:color="auto"/>
              <w:right w:val="nil"/>
            </w:tcBorders>
            <w:shd w:val="clear" w:color="auto" w:fill="auto"/>
          </w:tcPr>
          <w:p w14:paraId="0DA54B09"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0A"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0B"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0C"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0D"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0E"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0F"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10" w14:textId="77777777" w:rsidR="00CA353F" w:rsidRDefault="00CA353F">
            <w:pPr>
              <w:ind w:firstLine="60"/>
              <w:jc w:val="right"/>
            </w:pPr>
          </w:p>
        </w:tc>
      </w:tr>
      <w:tr w:rsidR="00CA353F" w14:paraId="0DA54B1C"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12" w14:textId="77777777" w:rsidR="00CA353F" w:rsidRDefault="002C3F58">
            <w:pPr>
              <w:jc w:val="both"/>
            </w:pPr>
            <w:r>
              <w:t>3.1.2.4.</w:t>
            </w:r>
          </w:p>
        </w:tc>
        <w:tc>
          <w:tcPr>
            <w:tcW w:w="5315" w:type="dxa"/>
            <w:tcBorders>
              <w:top w:val="nil"/>
              <w:left w:val="nil"/>
              <w:bottom w:val="single" w:sz="4" w:space="0" w:color="auto"/>
              <w:right w:val="single" w:sz="8" w:space="0" w:color="auto"/>
            </w:tcBorders>
            <w:shd w:val="clear" w:color="auto" w:fill="auto"/>
          </w:tcPr>
          <w:p w14:paraId="0DA54B13" w14:textId="77777777" w:rsidR="00CA353F" w:rsidRDefault="002C3F58">
            <w:pPr>
              <w:ind w:firstLine="567"/>
            </w:pPr>
            <w:r>
              <w:t>šilumos energija</w:t>
            </w:r>
          </w:p>
        </w:tc>
        <w:tc>
          <w:tcPr>
            <w:tcW w:w="970" w:type="dxa"/>
            <w:tcBorders>
              <w:top w:val="nil"/>
              <w:left w:val="nil"/>
              <w:bottom w:val="single" w:sz="4" w:space="0" w:color="auto"/>
              <w:right w:val="nil"/>
            </w:tcBorders>
            <w:shd w:val="clear" w:color="auto" w:fill="auto"/>
          </w:tcPr>
          <w:p w14:paraId="0DA54B14"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15"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16"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17"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18"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19"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1A"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1B" w14:textId="77777777" w:rsidR="00CA353F" w:rsidRDefault="00CA353F">
            <w:pPr>
              <w:ind w:firstLine="60"/>
              <w:jc w:val="right"/>
            </w:pPr>
          </w:p>
        </w:tc>
      </w:tr>
      <w:tr w:rsidR="00CA353F" w14:paraId="0DA54B27"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1D" w14:textId="77777777" w:rsidR="00CA353F" w:rsidRDefault="002C3F58">
            <w:pPr>
              <w:jc w:val="both"/>
            </w:pPr>
            <w:r>
              <w:t>3.1.2.5.</w:t>
            </w:r>
          </w:p>
        </w:tc>
        <w:tc>
          <w:tcPr>
            <w:tcW w:w="5315" w:type="dxa"/>
            <w:tcBorders>
              <w:top w:val="nil"/>
              <w:left w:val="nil"/>
              <w:bottom w:val="single" w:sz="4" w:space="0" w:color="auto"/>
              <w:right w:val="single" w:sz="8" w:space="0" w:color="auto"/>
            </w:tcBorders>
            <w:shd w:val="clear" w:color="auto" w:fill="auto"/>
          </w:tcPr>
          <w:p w14:paraId="0DA54B1E" w14:textId="77777777" w:rsidR="00CA353F" w:rsidRDefault="002C3F58">
            <w:pPr>
              <w:ind w:firstLine="567"/>
            </w:pPr>
            <w:r>
              <w:t>vanduo ir kanalizacija</w:t>
            </w:r>
          </w:p>
        </w:tc>
        <w:tc>
          <w:tcPr>
            <w:tcW w:w="970" w:type="dxa"/>
            <w:tcBorders>
              <w:top w:val="nil"/>
              <w:left w:val="nil"/>
              <w:bottom w:val="single" w:sz="4" w:space="0" w:color="auto"/>
              <w:right w:val="nil"/>
            </w:tcBorders>
            <w:shd w:val="clear" w:color="auto" w:fill="auto"/>
          </w:tcPr>
          <w:p w14:paraId="0DA54B1F"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20"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21"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22"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23"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24"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25"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26" w14:textId="77777777" w:rsidR="00CA353F" w:rsidRDefault="00CA353F">
            <w:pPr>
              <w:ind w:firstLine="60"/>
              <w:jc w:val="right"/>
            </w:pPr>
          </w:p>
        </w:tc>
      </w:tr>
      <w:tr w:rsidR="00CA353F" w14:paraId="0DA54B32" w14:textId="77777777">
        <w:trPr>
          <w:trHeight w:val="285"/>
        </w:trPr>
        <w:tc>
          <w:tcPr>
            <w:tcW w:w="1180" w:type="dxa"/>
            <w:tcBorders>
              <w:top w:val="nil"/>
              <w:left w:val="single" w:sz="8" w:space="0" w:color="auto"/>
              <w:bottom w:val="single" w:sz="4" w:space="0" w:color="auto"/>
              <w:right w:val="single" w:sz="4" w:space="0" w:color="auto"/>
            </w:tcBorders>
            <w:shd w:val="clear" w:color="auto" w:fill="auto"/>
          </w:tcPr>
          <w:p w14:paraId="0DA54B28" w14:textId="77777777" w:rsidR="00CA353F" w:rsidRDefault="002C3F58">
            <w:pPr>
              <w:jc w:val="both"/>
            </w:pPr>
            <w:r>
              <w:t>3.1.2.6.</w:t>
            </w:r>
          </w:p>
        </w:tc>
        <w:tc>
          <w:tcPr>
            <w:tcW w:w="5315" w:type="dxa"/>
            <w:tcBorders>
              <w:top w:val="nil"/>
              <w:left w:val="nil"/>
              <w:bottom w:val="single" w:sz="4" w:space="0" w:color="auto"/>
              <w:right w:val="single" w:sz="8" w:space="0" w:color="auto"/>
            </w:tcBorders>
            <w:shd w:val="clear" w:color="auto" w:fill="auto"/>
          </w:tcPr>
          <w:p w14:paraId="0DA54B29" w14:textId="77777777" w:rsidR="00CA353F" w:rsidRDefault="002C3F58">
            <w:pPr>
              <w:ind w:firstLine="567"/>
            </w:pPr>
            <w:r>
              <w:t>kitos sąnaudos (iššifruoti sumas, didesnes kaip 5% nuo 3.1.2 punkto sumos)</w:t>
            </w:r>
          </w:p>
        </w:tc>
        <w:tc>
          <w:tcPr>
            <w:tcW w:w="970" w:type="dxa"/>
            <w:tcBorders>
              <w:top w:val="nil"/>
              <w:left w:val="nil"/>
              <w:bottom w:val="single" w:sz="4" w:space="0" w:color="auto"/>
              <w:right w:val="nil"/>
            </w:tcBorders>
            <w:shd w:val="clear" w:color="auto" w:fill="auto"/>
          </w:tcPr>
          <w:p w14:paraId="0DA54B2A"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2B"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2C"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2D"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2E"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2F"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30"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31" w14:textId="77777777" w:rsidR="00CA353F" w:rsidRDefault="00CA353F">
            <w:pPr>
              <w:ind w:firstLine="60"/>
              <w:jc w:val="right"/>
            </w:pPr>
          </w:p>
        </w:tc>
      </w:tr>
      <w:tr w:rsidR="00CA353F" w14:paraId="0DA54B3D"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33" w14:textId="77777777" w:rsidR="00CA353F" w:rsidRDefault="002C3F58">
            <w:pPr>
              <w:jc w:val="both"/>
            </w:pPr>
            <w:r>
              <w:t>3.1.3.</w:t>
            </w:r>
          </w:p>
        </w:tc>
        <w:tc>
          <w:tcPr>
            <w:tcW w:w="5315" w:type="dxa"/>
            <w:tcBorders>
              <w:top w:val="nil"/>
              <w:left w:val="nil"/>
              <w:bottom w:val="single" w:sz="4" w:space="0" w:color="auto"/>
              <w:right w:val="single" w:sz="8" w:space="0" w:color="auto"/>
            </w:tcBorders>
            <w:shd w:val="clear" w:color="auto" w:fill="auto"/>
          </w:tcPr>
          <w:p w14:paraId="0DA54B34" w14:textId="77777777" w:rsidR="00CA353F" w:rsidRDefault="002C3F58">
            <w:r>
              <w:t>Kitos sąnaudos:</w:t>
            </w:r>
          </w:p>
        </w:tc>
        <w:tc>
          <w:tcPr>
            <w:tcW w:w="970" w:type="dxa"/>
            <w:tcBorders>
              <w:top w:val="nil"/>
              <w:left w:val="nil"/>
              <w:bottom w:val="single" w:sz="4" w:space="0" w:color="auto"/>
              <w:right w:val="nil"/>
            </w:tcBorders>
            <w:shd w:val="clear" w:color="auto" w:fill="auto"/>
          </w:tcPr>
          <w:p w14:paraId="0DA54B35"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36"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37"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38"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39"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3A"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3B"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3C" w14:textId="77777777" w:rsidR="00CA353F" w:rsidRDefault="00CA353F">
            <w:pPr>
              <w:ind w:firstLine="60"/>
              <w:jc w:val="right"/>
            </w:pPr>
          </w:p>
        </w:tc>
      </w:tr>
      <w:tr w:rsidR="00CA353F" w14:paraId="0DA54B48"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3E" w14:textId="77777777" w:rsidR="00CA353F" w:rsidRDefault="002C3F58">
            <w:pPr>
              <w:jc w:val="both"/>
            </w:pPr>
            <w:r>
              <w:t>3.1.3.1.</w:t>
            </w:r>
          </w:p>
        </w:tc>
        <w:tc>
          <w:tcPr>
            <w:tcW w:w="5315" w:type="dxa"/>
            <w:tcBorders>
              <w:top w:val="nil"/>
              <w:left w:val="nil"/>
              <w:bottom w:val="single" w:sz="4" w:space="0" w:color="auto"/>
              <w:right w:val="single" w:sz="8" w:space="0" w:color="auto"/>
            </w:tcBorders>
            <w:shd w:val="clear" w:color="auto" w:fill="auto"/>
          </w:tcPr>
          <w:p w14:paraId="0DA54B3F" w14:textId="77777777" w:rsidR="00CA353F" w:rsidRDefault="002C3F58">
            <w:pPr>
              <w:ind w:firstLine="567"/>
            </w:pPr>
            <w:r>
              <w:t>darbuotojų saugos ir sveikatos sąnaudos</w:t>
            </w:r>
          </w:p>
        </w:tc>
        <w:tc>
          <w:tcPr>
            <w:tcW w:w="970" w:type="dxa"/>
            <w:tcBorders>
              <w:top w:val="nil"/>
              <w:left w:val="nil"/>
              <w:bottom w:val="single" w:sz="4" w:space="0" w:color="auto"/>
              <w:right w:val="nil"/>
            </w:tcBorders>
            <w:shd w:val="clear" w:color="auto" w:fill="auto"/>
          </w:tcPr>
          <w:p w14:paraId="0DA54B40"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41"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42"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43"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44"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45"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46"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47" w14:textId="77777777" w:rsidR="00CA353F" w:rsidRDefault="00CA353F">
            <w:pPr>
              <w:ind w:firstLine="60"/>
              <w:jc w:val="right"/>
            </w:pPr>
          </w:p>
        </w:tc>
      </w:tr>
      <w:tr w:rsidR="00CA353F" w14:paraId="0DA54B53"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49" w14:textId="77777777" w:rsidR="00CA353F" w:rsidRDefault="002C3F58">
            <w:pPr>
              <w:jc w:val="both"/>
            </w:pPr>
            <w:r>
              <w:t>3.1.3.2.</w:t>
            </w:r>
          </w:p>
        </w:tc>
        <w:tc>
          <w:tcPr>
            <w:tcW w:w="5315" w:type="dxa"/>
            <w:tcBorders>
              <w:top w:val="nil"/>
              <w:left w:val="nil"/>
              <w:bottom w:val="single" w:sz="4" w:space="0" w:color="auto"/>
              <w:right w:val="single" w:sz="8" w:space="0" w:color="auto"/>
            </w:tcBorders>
            <w:shd w:val="clear" w:color="auto" w:fill="auto"/>
          </w:tcPr>
          <w:p w14:paraId="0DA54B4A" w14:textId="77777777" w:rsidR="00CA353F" w:rsidRDefault="002C3F58">
            <w:pPr>
              <w:ind w:firstLine="567"/>
            </w:pPr>
            <w:r>
              <w:t>personalo mokymo, kvalifikacijos kėlimo sąnaudos</w:t>
            </w:r>
          </w:p>
        </w:tc>
        <w:tc>
          <w:tcPr>
            <w:tcW w:w="970" w:type="dxa"/>
            <w:tcBorders>
              <w:top w:val="nil"/>
              <w:left w:val="nil"/>
              <w:bottom w:val="single" w:sz="4" w:space="0" w:color="auto"/>
              <w:right w:val="nil"/>
            </w:tcBorders>
            <w:shd w:val="clear" w:color="auto" w:fill="auto"/>
          </w:tcPr>
          <w:p w14:paraId="0DA54B4B"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4C"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4D"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4E"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4F"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50"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51"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52" w14:textId="77777777" w:rsidR="00CA353F" w:rsidRDefault="00CA353F">
            <w:pPr>
              <w:ind w:firstLine="60"/>
              <w:jc w:val="right"/>
            </w:pPr>
          </w:p>
        </w:tc>
      </w:tr>
      <w:tr w:rsidR="00CA353F" w14:paraId="0DA54B5E"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54" w14:textId="77777777" w:rsidR="00CA353F" w:rsidRDefault="002C3F58">
            <w:pPr>
              <w:jc w:val="both"/>
            </w:pPr>
            <w:r>
              <w:t>3.1.3.3.</w:t>
            </w:r>
          </w:p>
        </w:tc>
        <w:tc>
          <w:tcPr>
            <w:tcW w:w="5315" w:type="dxa"/>
            <w:tcBorders>
              <w:top w:val="nil"/>
              <w:left w:val="nil"/>
              <w:bottom w:val="single" w:sz="4" w:space="0" w:color="auto"/>
              <w:right w:val="single" w:sz="8" w:space="0" w:color="auto"/>
            </w:tcBorders>
            <w:shd w:val="clear" w:color="auto" w:fill="auto"/>
          </w:tcPr>
          <w:p w14:paraId="0DA54B55" w14:textId="77777777" w:rsidR="00CA353F" w:rsidRDefault="002C3F58">
            <w:pPr>
              <w:ind w:firstLine="567"/>
            </w:pPr>
            <w:r>
              <w:t>komandiruočių sąnaudos</w:t>
            </w:r>
          </w:p>
        </w:tc>
        <w:tc>
          <w:tcPr>
            <w:tcW w:w="970" w:type="dxa"/>
            <w:tcBorders>
              <w:top w:val="nil"/>
              <w:left w:val="nil"/>
              <w:bottom w:val="single" w:sz="4" w:space="0" w:color="auto"/>
              <w:right w:val="nil"/>
            </w:tcBorders>
            <w:shd w:val="clear" w:color="auto" w:fill="auto"/>
          </w:tcPr>
          <w:p w14:paraId="0DA54B56"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57"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58"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59"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5A"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5B"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5C"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5D" w14:textId="77777777" w:rsidR="00CA353F" w:rsidRDefault="00CA353F">
            <w:pPr>
              <w:ind w:firstLine="60"/>
              <w:jc w:val="right"/>
            </w:pPr>
          </w:p>
        </w:tc>
      </w:tr>
      <w:tr w:rsidR="00CA353F" w14:paraId="0DA54B69"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5F" w14:textId="77777777" w:rsidR="00CA353F" w:rsidRDefault="002C3F58">
            <w:pPr>
              <w:jc w:val="both"/>
            </w:pPr>
            <w:r>
              <w:t>3.1.3.4.</w:t>
            </w:r>
          </w:p>
        </w:tc>
        <w:tc>
          <w:tcPr>
            <w:tcW w:w="5315" w:type="dxa"/>
            <w:tcBorders>
              <w:top w:val="nil"/>
              <w:left w:val="nil"/>
              <w:bottom w:val="single" w:sz="4" w:space="0" w:color="auto"/>
              <w:right w:val="single" w:sz="8" w:space="0" w:color="auto"/>
            </w:tcBorders>
            <w:shd w:val="clear" w:color="auto" w:fill="auto"/>
          </w:tcPr>
          <w:p w14:paraId="0DA54B60" w14:textId="77777777" w:rsidR="00CA353F" w:rsidRDefault="002C3F58">
            <w:pPr>
              <w:ind w:firstLine="567"/>
            </w:pPr>
            <w:r>
              <w:t>ryšių paslaugų sąnaudos</w:t>
            </w:r>
          </w:p>
        </w:tc>
        <w:tc>
          <w:tcPr>
            <w:tcW w:w="970" w:type="dxa"/>
            <w:tcBorders>
              <w:top w:val="nil"/>
              <w:left w:val="nil"/>
              <w:bottom w:val="single" w:sz="4" w:space="0" w:color="auto"/>
              <w:right w:val="nil"/>
            </w:tcBorders>
            <w:shd w:val="clear" w:color="auto" w:fill="auto"/>
          </w:tcPr>
          <w:p w14:paraId="0DA54B61"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62"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63"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64"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65"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66"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67"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68" w14:textId="77777777" w:rsidR="00CA353F" w:rsidRDefault="00CA353F">
            <w:pPr>
              <w:ind w:firstLine="60"/>
              <w:jc w:val="right"/>
            </w:pPr>
          </w:p>
        </w:tc>
      </w:tr>
      <w:tr w:rsidR="00CA353F" w14:paraId="0DA54B74"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6A" w14:textId="77777777" w:rsidR="00CA353F" w:rsidRDefault="002C3F58">
            <w:pPr>
              <w:jc w:val="both"/>
            </w:pPr>
            <w:r>
              <w:t>3.1.3.5.</w:t>
            </w:r>
          </w:p>
        </w:tc>
        <w:tc>
          <w:tcPr>
            <w:tcW w:w="5315" w:type="dxa"/>
            <w:tcBorders>
              <w:top w:val="nil"/>
              <w:left w:val="nil"/>
              <w:bottom w:val="single" w:sz="4" w:space="0" w:color="auto"/>
              <w:right w:val="single" w:sz="8" w:space="0" w:color="auto"/>
            </w:tcBorders>
            <w:shd w:val="clear" w:color="auto" w:fill="auto"/>
          </w:tcPr>
          <w:p w14:paraId="0DA54B6B" w14:textId="77777777" w:rsidR="00CA353F" w:rsidRDefault="002C3F58">
            <w:pPr>
              <w:ind w:firstLine="567"/>
            </w:pPr>
            <w:r>
              <w:t>reklamos sąnaudos</w:t>
            </w:r>
          </w:p>
        </w:tc>
        <w:tc>
          <w:tcPr>
            <w:tcW w:w="970" w:type="dxa"/>
            <w:tcBorders>
              <w:top w:val="nil"/>
              <w:left w:val="nil"/>
              <w:bottom w:val="single" w:sz="4" w:space="0" w:color="auto"/>
              <w:right w:val="nil"/>
            </w:tcBorders>
            <w:shd w:val="clear" w:color="auto" w:fill="auto"/>
          </w:tcPr>
          <w:p w14:paraId="0DA54B6C"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6D"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6E"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6F"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70"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71"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72"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73" w14:textId="77777777" w:rsidR="00CA353F" w:rsidRDefault="00CA353F">
            <w:pPr>
              <w:ind w:firstLine="60"/>
              <w:jc w:val="right"/>
            </w:pPr>
          </w:p>
        </w:tc>
      </w:tr>
      <w:tr w:rsidR="00CA353F" w14:paraId="0DA54B7F"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75" w14:textId="77777777" w:rsidR="00CA353F" w:rsidRDefault="002C3F58">
            <w:pPr>
              <w:jc w:val="both"/>
            </w:pPr>
            <w:r>
              <w:lastRenderedPageBreak/>
              <w:t>3.1.3.6.</w:t>
            </w:r>
          </w:p>
        </w:tc>
        <w:tc>
          <w:tcPr>
            <w:tcW w:w="5315" w:type="dxa"/>
            <w:tcBorders>
              <w:top w:val="nil"/>
              <w:left w:val="nil"/>
              <w:bottom w:val="single" w:sz="4" w:space="0" w:color="auto"/>
              <w:right w:val="single" w:sz="8" w:space="0" w:color="auto"/>
            </w:tcBorders>
            <w:shd w:val="clear" w:color="auto" w:fill="auto"/>
          </w:tcPr>
          <w:p w14:paraId="0DA54B76" w14:textId="77777777" w:rsidR="00CA353F" w:rsidRDefault="002C3F58">
            <w:pPr>
              <w:ind w:firstLine="567"/>
            </w:pPr>
            <w:r>
              <w:t>banko paslaugų sąnaudos</w:t>
            </w:r>
          </w:p>
        </w:tc>
        <w:tc>
          <w:tcPr>
            <w:tcW w:w="970" w:type="dxa"/>
            <w:tcBorders>
              <w:top w:val="nil"/>
              <w:left w:val="nil"/>
              <w:bottom w:val="single" w:sz="4" w:space="0" w:color="auto"/>
              <w:right w:val="nil"/>
            </w:tcBorders>
            <w:shd w:val="clear" w:color="auto" w:fill="auto"/>
          </w:tcPr>
          <w:p w14:paraId="0DA54B77"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78"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79"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7A"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7B"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7C"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7D"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7E" w14:textId="77777777" w:rsidR="00CA353F" w:rsidRDefault="00CA353F">
            <w:pPr>
              <w:ind w:firstLine="60"/>
              <w:jc w:val="right"/>
            </w:pPr>
          </w:p>
        </w:tc>
      </w:tr>
      <w:tr w:rsidR="00CA353F" w14:paraId="0DA54B8A"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80" w14:textId="77777777" w:rsidR="00CA353F" w:rsidRDefault="002C3F58">
            <w:pPr>
              <w:jc w:val="both"/>
            </w:pPr>
            <w:r>
              <w:t>3.1.3.7.</w:t>
            </w:r>
          </w:p>
        </w:tc>
        <w:tc>
          <w:tcPr>
            <w:tcW w:w="5315" w:type="dxa"/>
            <w:tcBorders>
              <w:top w:val="nil"/>
              <w:left w:val="nil"/>
              <w:bottom w:val="single" w:sz="4" w:space="0" w:color="auto"/>
              <w:right w:val="single" w:sz="8" w:space="0" w:color="auto"/>
            </w:tcBorders>
            <w:shd w:val="clear" w:color="auto" w:fill="auto"/>
          </w:tcPr>
          <w:p w14:paraId="0DA54B81" w14:textId="77777777" w:rsidR="00CA353F" w:rsidRDefault="002C3F58">
            <w:pPr>
              <w:ind w:firstLine="567"/>
            </w:pPr>
            <w:r>
              <w:t>gyventojų įmokų administravimo sąnaudos</w:t>
            </w:r>
          </w:p>
        </w:tc>
        <w:tc>
          <w:tcPr>
            <w:tcW w:w="970" w:type="dxa"/>
            <w:tcBorders>
              <w:top w:val="nil"/>
              <w:left w:val="nil"/>
              <w:bottom w:val="single" w:sz="4" w:space="0" w:color="auto"/>
              <w:right w:val="nil"/>
            </w:tcBorders>
            <w:shd w:val="clear" w:color="auto" w:fill="auto"/>
          </w:tcPr>
          <w:p w14:paraId="0DA54B82"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83"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84"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85"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86"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87"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88"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89" w14:textId="77777777" w:rsidR="00CA353F" w:rsidRDefault="00CA353F">
            <w:pPr>
              <w:ind w:firstLine="60"/>
              <w:jc w:val="right"/>
            </w:pPr>
          </w:p>
        </w:tc>
      </w:tr>
      <w:tr w:rsidR="00CA353F" w14:paraId="0DA54B95"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8B" w14:textId="77777777" w:rsidR="00CA353F" w:rsidRDefault="002C3F58">
            <w:pPr>
              <w:jc w:val="both"/>
            </w:pPr>
            <w:r>
              <w:t>3.1.3.8.</w:t>
            </w:r>
          </w:p>
        </w:tc>
        <w:tc>
          <w:tcPr>
            <w:tcW w:w="5315" w:type="dxa"/>
            <w:tcBorders>
              <w:top w:val="nil"/>
              <w:left w:val="nil"/>
              <w:bottom w:val="single" w:sz="4" w:space="0" w:color="auto"/>
              <w:right w:val="single" w:sz="8" w:space="0" w:color="auto"/>
            </w:tcBorders>
            <w:shd w:val="clear" w:color="auto" w:fill="auto"/>
          </w:tcPr>
          <w:p w14:paraId="0DA54B8C" w14:textId="77777777" w:rsidR="00CA353F" w:rsidRDefault="002C3F58">
            <w:pPr>
              <w:ind w:firstLine="567"/>
            </w:pPr>
            <w:r>
              <w:t>draudimo sąnaudos</w:t>
            </w:r>
          </w:p>
        </w:tc>
        <w:tc>
          <w:tcPr>
            <w:tcW w:w="970" w:type="dxa"/>
            <w:tcBorders>
              <w:top w:val="nil"/>
              <w:left w:val="nil"/>
              <w:bottom w:val="single" w:sz="4" w:space="0" w:color="auto"/>
              <w:right w:val="nil"/>
            </w:tcBorders>
            <w:shd w:val="clear" w:color="auto" w:fill="auto"/>
          </w:tcPr>
          <w:p w14:paraId="0DA54B8D"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8E"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8F"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90"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91"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92"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93"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94" w14:textId="77777777" w:rsidR="00CA353F" w:rsidRDefault="00CA353F">
            <w:pPr>
              <w:ind w:firstLine="60"/>
              <w:jc w:val="right"/>
            </w:pPr>
          </w:p>
        </w:tc>
      </w:tr>
      <w:tr w:rsidR="00CA353F" w14:paraId="0DA54BA0" w14:textId="77777777">
        <w:trPr>
          <w:trHeight w:val="300"/>
        </w:trPr>
        <w:tc>
          <w:tcPr>
            <w:tcW w:w="1180" w:type="dxa"/>
            <w:tcBorders>
              <w:top w:val="nil"/>
              <w:left w:val="single" w:sz="8" w:space="0" w:color="auto"/>
              <w:bottom w:val="single" w:sz="4" w:space="0" w:color="auto"/>
              <w:right w:val="single" w:sz="4" w:space="0" w:color="auto"/>
            </w:tcBorders>
            <w:shd w:val="clear" w:color="auto" w:fill="auto"/>
          </w:tcPr>
          <w:p w14:paraId="0DA54B96" w14:textId="77777777" w:rsidR="00CA353F" w:rsidRDefault="002C3F58">
            <w:pPr>
              <w:jc w:val="both"/>
            </w:pPr>
            <w:r>
              <w:t>3.1.3.9.</w:t>
            </w:r>
          </w:p>
        </w:tc>
        <w:tc>
          <w:tcPr>
            <w:tcW w:w="5315" w:type="dxa"/>
            <w:tcBorders>
              <w:top w:val="nil"/>
              <w:left w:val="nil"/>
              <w:bottom w:val="single" w:sz="4" w:space="0" w:color="auto"/>
              <w:right w:val="single" w:sz="8" w:space="0" w:color="auto"/>
            </w:tcBorders>
            <w:shd w:val="clear" w:color="auto" w:fill="auto"/>
          </w:tcPr>
          <w:p w14:paraId="0DA54B97" w14:textId="77777777" w:rsidR="00CA353F" w:rsidRDefault="002C3F58">
            <w:pPr>
              <w:ind w:firstLine="567"/>
            </w:pPr>
            <w:r>
              <w:t>kitos sąnaudos (iššifruoti sumas, didesnes kaip 5% nuo 3.1.3 punkto sumos)</w:t>
            </w:r>
          </w:p>
        </w:tc>
        <w:tc>
          <w:tcPr>
            <w:tcW w:w="970" w:type="dxa"/>
            <w:tcBorders>
              <w:top w:val="nil"/>
              <w:left w:val="nil"/>
              <w:bottom w:val="single" w:sz="4" w:space="0" w:color="auto"/>
              <w:right w:val="nil"/>
            </w:tcBorders>
            <w:shd w:val="clear" w:color="auto" w:fill="auto"/>
          </w:tcPr>
          <w:p w14:paraId="0DA54B98"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99"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9A"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9B"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9C"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9D"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9E"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9F" w14:textId="77777777" w:rsidR="00CA353F" w:rsidRDefault="00CA353F">
            <w:pPr>
              <w:ind w:firstLine="60"/>
              <w:jc w:val="right"/>
            </w:pPr>
          </w:p>
        </w:tc>
      </w:tr>
      <w:tr w:rsidR="00CA353F" w14:paraId="0DA54BAB"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A1" w14:textId="77777777" w:rsidR="00CA353F" w:rsidRDefault="002C3F58">
            <w:pPr>
              <w:jc w:val="both"/>
            </w:pPr>
            <w:r>
              <w:t>3.2.</w:t>
            </w:r>
          </w:p>
        </w:tc>
        <w:tc>
          <w:tcPr>
            <w:tcW w:w="5315" w:type="dxa"/>
            <w:tcBorders>
              <w:top w:val="nil"/>
              <w:left w:val="nil"/>
              <w:bottom w:val="single" w:sz="4" w:space="0" w:color="auto"/>
              <w:right w:val="single" w:sz="8" w:space="0" w:color="auto"/>
            </w:tcBorders>
            <w:shd w:val="clear" w:color="auto" w:fill="auto"/>
          </w:tcPr>
          <w:p w14:paraId="0DA54BA2" w14:textId="77777777" w:rsidR="00CA353F" w:rsidRDefault="002C3F58">
            <w:r>
              <w:t>Nusidėvėjimas ir amortizacija</w:t>
            </w:r>
          </w:p>
        </w:tc>
        <w:tc>
          <w:tcPr>
            <w:tcW w:w="970" w:type="dxa"/>
            <w:tcBorders>
              <w:top w:val="nil"/>
              <w:left w:val="nil"/>
              <w:bottom w:val="single" w:sz="4" w:space="0" w:color="auto"/>
              <w:right w:val="nil"/>
            </w:tcBorders>
            <w:shd w:val="clear" w:color="auto" w:fill="auto"/>
          </w:tcPr>
          <w:p w14:paraId="0DA54BA3"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A4"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A5"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A6"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A7"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A8"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A9"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AA" w14:textId="77777777" w:rsidR="00CA353F" w:rsidRDefault="00CA353F">
            <w:pPr>
              <w:ind w:firstLine="60"/>
              <w:jc w:val="right"/>
            </w:pPr>
          </w:p>
        </w:tc>
      </w:tr>
      <w:tr w:rsidR="00CA353F" w14:paraId="0DA54BB6"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AC" w14:textId="77777777" w:rsidR="00CA353F" w:rsidRDefault="002C3F58">
            <w:pPr>
              <w:jc w:val="both"/>
            </w:pPr>
            <w:r>
              <w:t>3.2'.</w:t>
            </w:r>
          </w:p>
        </w:tc>
        <w:tc>
          <w:tcPr>
            <w:tcW w:w="5315" w:type="dxa"/>
            <w:tcBorders>
              <w:top w:val="nil"/>
              <w:left w:val="nil"/>
              <w:bottom w:val="single" w:sz="4" w:space="0" w:color="auto"/>
              <w:right w:val="single" w:sz="8" w:space="0" w:color="auto"/>
            </w:tcBorders>
            <w:shd w:val="clear" w:color="auto" w:fill="auto"/>
          </w:tcPr>
          <w:p w14:paraId="0DA54BAD" w14:textId="77777777" w:rsidR="00CA353F" w:rsidRDefault="002C3F58">
            <w:r>
              <w:t>Planuojamos nusidėvėjimo ir amortizacijos sąnaudos dėl investicijų</w:t>
            </w:r>
          </w:p>
        </w:tc>
        <w:tc>
          <w:tcPr>
            <w:tcW w:w="970" w:type="dxa"/>
            <w:tcBorders>
              <w:top w:val="nil"/>
              <w:left w:val="nil"/>
              <w:bottom w:val="single" w:sz="4" w:space="0" w:color="auto"/>
              <w:right w:val="nil"/>
            </w:tcBorders>
            <w:shd w:val="clear" w:color="auto" w:fill="auto"/>
          </w:tcPr>
          <w:p w14:paraId="0DA54BAE"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AF"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B0"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B1"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B2"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B3"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B4"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B5" w14:textId="77777777" w:rsidR="00CA353F" w:rsidRDefault="00CA353F">
            <w:pPr>
              <w:ind w:firstLine="60"/>
              <w:jc w:val="right"/>
            </w:pPr>
          </w:p>
        </w:tc>
      </w:tr>
      <w:tr w:rsidR="00CA353F" w14:paraId="0DA54BC1"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B7" w14:textId="77777777" w:rsidR="00CA353F" w:rsidRDefault="002C3F58">
            <w:pPr>
              <w:jc w:val="both"/>
            </w:pPr>
            <w:r>
              <w:t>3.3.</w:t>
            </w:r>
          </w:p>
        </w:tc>
        <w:tc>
          <w:tcPr>
            <w:tcW w:w="5315" w:type="dxa"/>
            <w:tcBorders>
              <w:top w:val="nil"/>
              <w:left w:val="nil"/>
              <w:bottom w:val="single" w:sz="4" w:space="0" w:color="auto"/>
              <w:right w:val="single" w:sz="8" w:space="0" w:color="auto"/>
            </w:tcBorders>
            <w:shd w:val="clear" w:color="auto" w:fill="auto"/>
          </w:tcPr>
          <w:p w14:paraId="0DA54BB8" w14:textId="77777777" w:rsidR="00CA353F" w:rsidRDefault="002C3F58">
            <w:r>
              <w:t>Sąnaudos darbui apmokėti</w:t>
            </w:r>
          </w:p>
        </w:tc>
        <w:tc>
          <w:tcPr>
            <w:tcW w:w="970" w:type="dxa"/>
            <w:tcBorders>
              <w:top w:val="nil"/>
              <w:left w:val="nil"/>
              <w:bottom w:val="single" w:sz="4" w:space="0" w:color="auto"/>
              <w:right w:val="nil"/>
            </w:tcBorders>
            <w:shd w:val="clear" w:color="auto" w:fill="auto"/>
          </w:tcPr>
          <w:p w14:paraId="0DA54BB9"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BA"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BB"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BC"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BD"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BE"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BF"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C0" w14:textId="77777777" w:rsidR="00CA353F" w:rsidRDefault="00CA353F">
            <w:pPr>
              <w:ind w:firstLine="60"/>
              <w:jc w:val="right"/>
            </w:pPr>
          </w:p>
        </w:tc>
      </w:tr>
      <w:tr w:rsidR="00CA353F" w14:paraId="0DA54BCC"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C2" w14:textId="77777777" w:rsidR="00CA353F" w:rsidRDefault="002C3F58">
            <w:pPr>
              <w:jc w:val="both"/>
            </w:pPr>
            <w:r>
              <w:t>3.3'.</w:t>
            </w:r>
          </w:p>
        </w:tc>
        <w:tc>
          <w:tcPr>
            <w:tcW w:w="5315" w:type="dxa"/>
            <w:tcBorders>
              <w:top w:val="nil"/>
              <w:left w:val="nil"/>
              <w:bottom w:val="single" w:sz="4" w:space="0" w:color="auto"/>
              <w:right w:val="single" w:sz="8" w:space="0" w:color="auto"/>
            </w:tcBorders>
            <w:shd w:val="clear" w:color="auto" w:fill="auto"/>
          </w:tcPr>
          <w:p w14:paraId="0DA54BC3" w14:textId="77777777" w:rsidR="00CA353F" w:rsidRDefault="002C3F58">
            <w:r>
              <w:t>Planuojamos sąnaudos darbui apmokėti dėl investicijų</w:t>
            </w:r>
          </w:p>
        </w:tc>
        <w:tc>
          <w:tcPr>
            <w:tcW w:w="970" w:type="dxa"/>
            <w:tcBorders>
              <w:top w:val="nil"/>
              <w:left w:val="nil"/>
              <w:bottom w:val="single" w:sz="4" w:space="0" w:color="auto"/>
              <w:right w:val="nil"/>
            </w:tcBorders>
            <w:shd w:val="clear" w:color="auto" w:fill="auto"/>
          </w:tcPr>
          <w:p w14:paraId="0DA54BC4"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C5"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C6"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C7"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C8"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C9"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CA"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CB" w14:textId="77777777" w:rsidR="00CA353F" w:rsidRDefault="00CA353F">
            <w:pPr>
              <w:ind w:firstLine="60"/>
              <w:jc w:val="right"/>
            </w:pPr>
          </w:p>
        </w:tc>
      </w:tr>
      <w:tr w:rsidR="00CA353F" w14:paraId="0DA54BD7"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CD" w14:textId="77777777" w:rsidR="00CA353F" w:rsidRDefault="002C3F58">
            <w:pPr>
              <w:jc w:val="both"/>
            </w:pPr>
            <w:r>
              <w:t>3.4.</w:t>
            </w:r>
          </w:p>
        </w:tc>
        <w:tc>
          <w:tcPr>
            <w:tcW w:w="5315" w:type="dxa"/>
            <w:tcBorders>
              <w:top w:val="nil"/>
              <w:left w:val="nil"/>
              <w:bottom w:val="single" w:sz="4" w:space="0" w:color="auto"/>
              <w:right w:val="single" w:sz="8" w:space="0" w:color="auto"/>
            </w:tcBorders>
            <w:shd w:val="clear" w:color="auto" w:fill="auto"/>
          </w:tcPr>
          <w:p w14:paraId="0DA54BCE" w14:textId="77777777" w:rsidR="00CA353F" w:rsidRDefault="002C3F58">
            <w:r>
              <w:t>Įmokos socialiniam draudimui</w:t>
            </w:r>
          </w:p>
        </w:tc>
        <w:tc>
          <w:tcPr>
            <w:tcW w:w="970" w:type="dxa"/>
            <w:tcBorders>
              <w:top w:val="nil"/>
              <w:left w:val="nil"/>
              <w:bottom w:val="single" w:sz="4" w:space="0" w:color="auto"/>
              <w:right w:val="nil"/>
            </w:tcBorders>
            <w:shd w:val="clear" w:color="auto" w:fill="auto"/>
          </w:tcPr>
          <w:p w14:paraId="0DA54BCF"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D0"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D1"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D2"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D3"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D4"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D5"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D6" w14:textId="77777777" w:rsidR="00CA353F" w:rsidRDefault="00CA353F">
            <w:pPr>
              <w:ind w:firstLine="60"/>
              <w:jc w:val="right"/>
            </w:pPr>
          </w:p>
        </w:tc>
      </w:tr>
      <w:tr w:rsidR="00CA353F" w14:paraId="0DA54BE2"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D8" w14:textId="77777777" w:rsidR="00CA353F" w:rsidRDefault="002C3F58">
            <w:pPr>
              <w:jc w:val="both"/>
            </w:pPr>
            <w:r>
              <w:t>3.4'.</w:t>
            </w:r>
          </w:p>
        </w:tc>
        <w:tc>
          <w:tcPr>
            <w:tcW w:w="5315" w:type="dxa"/>
            <w:tcBorders>
              <w:top w:val="nil"/>
              <w:left w:val="nil"/>
              <w:bottom w:val="single" w:sz="4" w:space="0" w:color="auto"/>
              <w:right w:val="single" w:sz="8" w:space="0" w:color="auto"/>
            </w:tcBorders>
            <w:shd w:val="clear" w:color="auto" w:fill="auto"/>
          </w:tcPr>
          <w:p w14:paraId="0DA54BD9" w14:textId="77777777" w:rsidR="00CA353F" w:rsidRDefault="002C3F58">
            <w:r>
              <w:t>Planuojamos įmokos socialiniam draudimui dėl investicijų</w:t>
            </w:r>
          </w:p>
        </w:tc>
        <w:tc>
          <w:tcPr>
            <w:tcW w:w="970" w:type="dxa"/>
            <w:tcBorders>
              <w:top w:val="nil"/>
              <w:left w:val="nil"/>
              <w:bottom w:val="single" w:sz="4" w:space="0" w:color="auto"/>
              <w:right w:val="nil"/>
            </w:tcBorders>
            <w:shd w:val="clear" w:color="auto" w:fill="auto"/>
          </w:tcPr>
          <w:p w14:paraId="0DA54BDA"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DB"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DC"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DD"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DE"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DF"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E0"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E1" w14:textId="77777777" w:rsidR="00CA353F" w:rsidRDefault="00CA353F">
            <w:pPr>
              <w:ind w:firstLine="60"/>
              <w:jc w:val="right"/>
            </w:pPr>
          </w:p>
        </w:tc>
      </w:tr>
      <w:tr w:rsidR="00CA353F" w14:paraId="0DA54BED"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E3" w14:textId="77777777" w:rsidR="00CA353F" w:rsidRDefault="002C3F58">
            <w:pPr>
              <w:jc w:val="both"/>
            </w:pPr>
            <w:r>
              <w:t>3.5.</w:t>
            </w:r>
          </w:p>
        </w:tc>
        <w:tc>
          <w:tcPr>
            <w:tcW w:w="5315" w:type="dxa"/>
            <w:tcBorders>
              <w:top w:val="nil"/>
              <w:left w:val="nil"/>
              <w:bottom w:val="single" w:sz="4" w:space="0" w:color="auto"/>
              <w:right w:val="single" w:sz="8" w:space="0" w:color="auto"/>
            </w:tcBorders>
            <w:shd w:val="clear" w:color="auto" w:fill="auto"/>
          </w:tcPr>
          <w:p w14:paraId="0DA54BE4" w14:textId="77777777" w:rsidR="00CA353F" w:rsidRDefault="002C3F58">
            <w:r>
              <w:t>Mokesčiai, iš viso:</w:t>
            </w:r>
          </w:p>
        </w:tc>
        <w:tc>
          <w:tcPr>
            <w:tcW w:w="970" w:type="dxa"/>
            <w:tcBorders>
              <w:top w:val="nil"/>
              <w:left w:val="nil"/>
              <w:bottom w:val="single" w:sz="4" w:space="0" w:color="auto"/>
              <w:right w:val="nil"/>
            </w:tcBorders>
            <w:shd w:val="clear" w:color="auto" w:fill="auto"/>
          </w:tcPr>
          <w:p w14:paraId="0DA54BE5"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E6"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E7"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E8"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E9"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EA"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EB"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EC" w14:textId="77777777" w:rsidR="00CA353F" w:rsidRDefault="00CA353F">
            <w:pPr>
              <w:ind w:firstLine="60"/>
              <w:jc w:val="right"/>
            </w:pPr>
          </w:p>
        </w:tc>
      </w:tr>
      <w:tr w:rsidR="00CA353F" w14:paraId="0DA54BF8"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EE" w14:textId="77777777" w:rsidR="00CA353F" w:rsidRDefault="002C3F58">
            <w:pPr>
              <w:jc w:val="both"/>
            </w:pPr>
            <w:r>
              <w:t>3.5'.</w:t>
            </w:r>
          </w:p>
        </w:tc>
        <w:tc>
          <w:tcPr>
            <w:tcW w:w="5315" w:type="dxa"/>
            <w:tcBorders>
              <w:top w:val="nil"/>
              <w:left w:val="nil"/>
              <w:bottom w:val="single" w:sz="4" w:space="0" w:color="auto"/>
              <w:right w:val="single" w:sz="8" w:space="0" w:color="auto"/>
            </w:tcBorders>
            <w:shd w:val="clear" w:color="auto" w:fill="auto"/>
          </w:tcPr>
          <w:p w14:paraId="0DA54BEF" w14:textId="77777777" w:rsidR="00CA353F" w:rsidRDefault="002C3F58">
            <w:r>
              <w:t>Planuojamos mokesčių sąnaudos dėl investicijų, iš viso</w:t>
            </w:r>
          </w:p>
        </w:tc>
        <w:tc>
          <w:tcPr>
            <w:tcW w:w="970" w:type="dxa"/>
            <w:tcBorders>
              <w:top w:val="nil"/>
              <w:left w:val="nil"/>
              <w:bottom w:val="single" w:sz="4" w:space="0" w:color="auto"/>
              <w:right w:val="nil"/>
            </w:tcBorders>
            <w:shd w:val="clear" w:color="auto" w:fill="auto"/>
          </w:tcPr>
          <w:p w14:paraId="0DA54BF0"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F1"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F2"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F3"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F4"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BF5"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BF6"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BF7" w14:textId="77777777" w:rsidR="00CA353F" w:rsidRDefault="00CA353F">
            <w:pPr>
              <w:ind w:firstLine="60"/>
              <w:jc w:val="right"/>
            </w:pPr>
          </w:p>
        </w:tc>
      </w:tr>
      <w:tr w:rsidR="00CA353F" w14:paraId="0DA54C03"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BF9" w14:textId="77777777" w:rsidR="00CA353F" w:rsidRDefault="002C3F58">
            <w:pPr>
              <w:jc w:val="both"/>
            </w:pPr>
            <w:r>
              <w:t>3.5.1.</w:t>
            </w:r>
          </w:p>
        </w:tc>
        <w:tc>
          <w:tcPr>
            <w:tcW w:w="5315" w:type="dxa"/>
            <w:tcBorders>
              <w:top w:val="nil"/>
              <w:left w:val="nil"/>
              <w:bottom w:val="single" w:sz="4" w:space="0" w:color="auto"/>
              <w:right w:val="single" w:sz="8" w:space="0" w:color="auto"/>
            </w:tcBorders>
            <w:shd w:val="clear" w:color="auto" w:fill="auto"/>
          </w:tcPr>
          <w:p w14:paraId="0DA54BFA" w14:textId="77777777" w:rsidR="00CA353F" w:rsidRDefault="002C3F58">
            <w:pPr>
              <w:ind w:firstLine="567"/>
            </w:pPr>
            <w:r>
              <w:t>turto mokestis</w:t>
            </w:r>
          </w:p>
        </w:tc>
        <w:tc>
          <w:tcPr>
            <w:tcW w:w="970" w:type="dxa"/>
            <w:tcBorders>
              <w:top w:val="nil"/>
              <w:left w:val="nil"/>
              <w:bottom w:val="single" w:sz="4" w:space="0" w:color="auto"/>
              <w:right w:val="nil"/>
            </w:tcBorders>
            <w:shd w:val="clear" w:color="auto" w:fill="auto"/>
          </w:tcPr>
          <w:p w14:paraId="0DA54BFB"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BFC"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BFD"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BFE"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BFF"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00"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01"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02" w14:textId="77777777" w:rsidR="00CA353F" w:rsidRDefault="00CA353F">
            <w:pPr>
              <w:ind w:firstLine="60"/>
              <w:jc w:val="right"/>
            </w:pPr>
          </w:p>
        </w:tc>
      </w:tr>
      <w:tr w:rsidR="00CA353F" w14:paraId="0DA54C0E"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04" w14:textId="77777777" w:rsidR="00CA353F" w:rsidRDefault="002C3F58">
            <w:pPr>
              <w:jc w:val="both"/>
            </w:pPr>
            <w:r>
              <w:t>3.5.2.</w:t>
            </w:r>
          </w:p>
        </w:tc>
        <w:tc>
          <w:tcPr>
            <w:tcW w:w="5315" w:type="dxa"/>
            <w:tcBorders>
              <w:top w:val="nil"/>
              <w:left w:val="nil"/>
              <w:bottom w:val="single" w:sz="4" w:space="0" w:color="auto"/>
              <w:right w:val="single" w:sz="8" w:space="0" w:color="auto"/>
            </w:tcBorders>
            <w:shd w:val="clear" w:color="auto" w:fill="auto"/>
          </w:tcPr>
          <w:p w14:paraId="0DA54C05" w14:textId="77777777" w:rsidR="00CA353F" w:rsidRDefault="002C3F58">
            <w:pPr>
              <w:ind w:firstLine="567"/>
            </w:pPr>
            <w:r>
              <w:t>žemės nuomos mokestis</w:t>
            </w:r>
          </w:p>
        </w:tc>
        <w:tc>
          <w:tcPr>
            <w:tcW w:w="970" w:type="dxa"/>
            <w:tcBorders>
              <w:top w:val="nil"/>
              <w:left w:val="nil"/>
              <w:bottom w:val="single" w:sz="4" w:space="0" w:color="auto"/>
              <w:right w:val="nil"/>
            </w:tcBorders>
            <w:shd w:val="clear" w:color="auto" w:fill="auto"/>
          </w:tcPr>
          <w:p w14:paraId="0DA54C06"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07"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08"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09"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0A"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0B"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0C"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0D" w14:textId="77777777" w:rsidR="00CA353F" w:rsidRDefault="00CA353F">
            <w:pPr>
              <w:ind w:firstLine="60"/>
              <w:jc w:val="right"/>
            </w:pPr>
          </w:p>
        </w:tc>
      </w:tr>
      <w:tr w:rsidR="00CA353F" w14:paraId="0DA54C19"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0F" w14:textId="77777777" w:rsidR="00CA353F" w:rsidRDefault="002C3F58">
            <w:pPr>
              <w:jc w:val="both"/>
            </w:pPr>
            <w:r>
              <w:t>3.5.3.</w:t>
            </w:r>
          </w:p>
        </w:tc>
        <w:tc>
          <w:tcPr>
            <w:tcW w:w="5315" w:type="dxa"/>
            <w:tcBorders>
              <w:top w:val="nil"/>
              <w:left w:val="nil"/>
              <w:bottom w:val="single" w:sz="4" w:space="0" w:color="auto"/>
              <w:right w:val="single" w:sz="8" w:space="0" w:color="auto"/>
            </w:tcBorders>
            <w:shd w:val="clear" w:color="auto" w:fill="auto"/>
          </w:tcPr>
          <w:p w14:paraId="0DA54C10" w14:textId="77777777" w:rsidR="00CA353F" w:rsidRDefault="002C3F58">
            <w:pPr>
              <w:ind w:firstLine="567"/>
            </w:pPr>
            <w:r>
              <w:t>mokestis už aplinkos teršimą</w:t>
            </w:r>
          </w:p>
        </w:tc>
        <w:tc>
          <w:tcPr>
            <w:tcW w:w="970" w:type="dxa"/>
            <w:tcBorders>
              <w:top w:val="nil"/>
              <w:left w:val="nil"/>
              <w:bottom w:val="single" w:sz="4" w:space="0" w:color="auto"/>
              <w:right w:val="nil"/>
            </w:tcBorders>
            <w:shd w:val="clear" w:color="auto" w:fill="auto"/>
          </w:tcPr>
          <w:p w14:paraId="0DA54C11"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12"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13"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14"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15"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16"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17"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18" w14:textId="77777777" w:rsidR="00CA353F" w:rsidRDefault="00CA353F">
            <w:pPr>
              <w:ind w:firstLine="60"/>
              <w:jc w:val="right"/>
            </w:pPr>
          </w:p>
        </w:tc>
      </w:tr>
      <w:tr w:rsidR="00CA353F" w14:paraId="0DA54C24"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1A" w14:textId="77777777" w:rsidR="00CA353F" w:rsidRDefault="002C3F58">
            <w:pPr>
              <w:jc w:val="both"/>
            </w:pPr>
            <w:r>
              <w:t>3.5.4.</w:t>
            </w:r>
          </w:p>
        </w:tc>
        <w:tc>
          <w:tcPr>
            <w:tcW w:w="5315" w:type="dxa"/>
            <w:tcBorders>
              <w:top w:val="nil"/>
              <w:left w:val="nil"/>
              <w:bottom w:val="single" w:sz="4" w:space="0" w:color="auto"/>
              <w:right w:val="single" w:sz="8" w:space="0" w:color="auto"/>
            </w:tcBorders>
            <w:shd w:val="clear" w:color="auto" w:fill="auto"/>
          </w:tcPr>
          <w:p w14:paraId="0DA54C1B" w14:textId="77777777" w:rsidR="00CA353F" w:rsidRDefault="002C3F58">
            <w:pPr>
              <w:ind w:firstLine="567"/>
            </w:pPr>
            <w:r>
              <w:t>mokėjimai į Garantinį fondą</w:t>
            </w:r>
          </w:p>
        </w:tc>
        <w:tc>
          <w:tcPr>
            <w:tcW w:w="970" w:type="dxa"/>
            <w:tcBorders>
              <w:top w:val="nil"/>
              <w:left w:val="nil"/>
              <w:bottom w:val="single" w:sz="4" w:space="0" w:color="auto"/>
              <w:right w:val="nil"/>
            </w:tcBorders>
            <w:shd w:val="clear" w:color="auto" w:fill="auto"/>
          </w:tcPr>
          <w:p w14:paraId="0DA54C1C"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1D"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1E"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1F"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20"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21"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22"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23" w14:textId="77777777" w:rsidR="00CA353F" w:rsidRDefault="00CA353F">
            <w:pPr>
              <w:ind w:firstLine="60"/>
              <w:jc w:val="right"/>
            </w:pPr>
          </w:p>
        </w:tc>
      </w:tr>
      <w:tr w:rsidR="00CA353F" w14:paraId="0DA54C2F"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25" w14:textId="77777777" w:rsidR="00CA353F" w:rsidRDefault="002C3F58">
            <w:pPr>
              <w:jc w:val="both"/>
            </w:pPr>
            <w:r>
              <w:t>3.5.5.</w:t>
            </w:r>
          </w:p>
        </w:tc>
        <w:tc>
          <w:tcPr>
            <w:tcW w:w="5315" w:type="dxa"/>
            <w:tcBorders>
              <w:top w:val="nil"/>
              <w:left w:val="nil"/>
              <w:bottom w:val="single" w:sz="4" w:space="0" w:color="auto"/>
              <w:right w:val="single" w:sz="8" w:space="0" w:color="auto"/>
            </w:tcBorders>
            <w:shd w:val="clear" w:color="auto" w:fill="auto"/>
          </w:tcPr>
          <w:p w14:paraId="0DA54C26" w14:textId="77777777" w:rsidR="00CA353F" w:rsidRDefault="002C3F58">
            <w:pPr>
              <w:ind w:firstLine="567"/>
            </w:pPr>
            <w:r>
              <w:t>neatskaitomas pridėtinės vertės mokestis</w:t>
            </w:r>
          </w:p>
        </w:tc>
        <w:tc>
          <w:tcPr>
            <w:tcW w:w="970" w:type="dxa"/>
            <w:tcBorders>
              <w:top w:val="nil"/>
              <w:left w:val="nil"/>
              <w:bottom w:val="single" w:sz="4" w:space="0" w:color="auto"/>
              <w:right w:val="nil"/>
            </w:tcBorders>
            <w:shd w:val="clear" w:color="auto" w:fill="auto"/>
          </w:tcPr>
          <w:p w14:paraId="0DA54C27"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28"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29"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2A"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2B"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2C"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2D"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2E" w14:textId="77777777" w:rsidR="00CA353F" w:rsidRDefault="00CA353F">
            <w:pPr>
              <w:ind w:firstLine="60"/>
              <w:jc w:val="right"/>
            </w:pPr>
          </w:p>
        </w:tc>
      </w:tr>
      <w:tr w:rsidR="00CA353F" w14:paraId="0DA54C3A"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30" w14:textId="77777777" w:rsidR="00CA353F" w:rsidRDefault="002C3F58">
            <w:pPr>
              <w:jc w:val="both"/>
            </w:pPr>
            <w:r>
              <w:t>3.5.6.</w:t>
            </w:r>
          </w:p>
        </w:tc>
        <w:tc>
          <w:tcPr>
            <w:tcW w:w="5315" w:type="dxa"/>
            <w:tcBorders>
              <w:top w:val="nil"/>
              <w:left w:val="nil"/>
              <w:bottom w:val="single" w:sz="4" w:space="0" w:color="auto"/>
              <w:right w:val="single" w:sz="8" w:space="0" w:color="auto"/>
            </w:tcBorders>
            <w:shd w:val="clear" w:color="auto" w:fill="auto"/>
          </w:tcPr>
          <w:p w14:paraId="0DA54C31" w14:textId="77777777" w:rsidR="00CA353F" w:rsidRDefault="002C3F58">
            <w:pPr>
              <w:ind w:firstLine="567"/>
            </w:pPr>
            <w:r>
              <w:t>žyminis mokestis</w:t>
            </w:r>
          </w:p>
        </w:tc>
        <w:tc>
          <w:tcPr>
            <w:tcW w:w="970" w:type="dxa"/>
            <w:tcBorders>
              <w:top w:val="nil"/>
              <w:left w:val="nil"/>
              <w:bottom w:val="single" w:sz="4" w:space="0" w:color="auto"/>
              <w:right w:val="nil"/>
            </w:tcBorders>
            <w:shd w:val="clear" w:color="auto" w:fill="auto"/>
          </w:tcPr>
          <w:p w14:paraId="0DA54C32"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33"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34"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35"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36"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37"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38"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39" w14:textId="77777777" w:rsidR="00CA353F" w:rsidRDefault="00CA353F">
            <w:pPr>
              <w:ind w:firstLine="60"/>
              <w:jc w:val="right"/>
            </w:pPr>
          </w:p>
        </w:tc>
      </w:tr>
      <w:tr w:rsidR="00CA353F" w14:paraId="0DA54C45"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3B" w14:textId="77777777" w:rsidR="00CA353F" w:rsidRDefault="002C3F58">
            <w:pPr>
              <w:jc w:val="both"/>
            </w:pPr>
            <w:r>
              <w:t>3.5.7.</w:t>
            </w:r>
          </w:p>
        </w:tc>
        <w:tc>
          <w:tcPr>
            <w:tcW w:w="5315" w:type="dxa"/>
            <w:tcBorders>
              <w:top w:val="nil"/>
              <w:left w:val="nil"/>
              <w:bottom w:val="single" w:sz="4" w:space="0" w:color="auto"/>
              <w:right w:val="single" w:sz="8" w:space="0" w:color="auto"/>
            </w:tcBorders>
            <w:shd w:val="clear" w:color="auto" w:fill="auto"/>
          </w:tcPr>
          <w:p w14:paraId="0DA54C3C" w14:textId="77777777" w:rsidR="00CA353F" w:rsidRDefault="002C3F58">
            <w:pPr>
              <w:ind w:firstLine="567"/>
            </w:pPr>
            <w:r>
              <w:t>kiti mokesčiai</w:t>
            </w:r>
          </w:p>
        </w:tc>
        <w:tc>
          <w:tcPr>
            <w:tcW w:w="970" w:type="dxa"/>
            <w:tcBorders>
              <w:top w:val="nil"/>
              <w:left w:val="nil"/>
              <w:bottom w:val="single" w:sz="4" w:space="0" w:color="auto"/>
              <w:right w:val="nil"/>
            </w:tcBorders>
            <w:shd w:val="clear" w:color="auto" w:fill="auto"/>
          </w:tcPr>
          <w:p w14:paraId="0DA54C3D"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3E"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3F"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40"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41"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42"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43"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44" w14:textId="77777777" w:rsidR="00CA353F" w:rsidRDefault="00CA353F">
            <w:pPr>
              <w:ind w:firstLine="60"/>
              <w:jc w:val="right"/>
            </w:pPr>
          </w:p>
        </w:tc>
      </w:tr>
      <w:tr w:rsidR="00CA353F" w14:paraId="0DA54C50"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46" w14:textId="77777777" w:rsidR="00CA353F" w:rsidRDefault="002C3F58">
            <w:pPr>
              <w:jc w:val="both"/>
            </w:pPr>
            <w:r>
              <w:lastRenderedPageBreak/>
              <w:t>3.6.</w:t>
            </w:r>
          </w:p>
        </w:tc>
        <w:tc>
          <w:tcPr>
            <w:tcW w:w="5315" w:type="dxa"/>
            <w:tcBorders>
              <w:top w:val="nil"/>
              <w:left w:val="nil"/>
              <w:bottom w:val="single" w:sz="4" w:space="0" w:color="auto"/>
              <w:right w:val="single" w:sz="8" w:space="0" w:color="auto"/>
            </w:tcBorders>
            <w:shd w:val="clear" w:color="auto" w:fill="auto"/>
          </w:tcPr>
          <w:p w14:paraId="0DA54C47" w14:textId="77777777" w:rsidR="00CA353F" w:rsidRDefault="002C3F58">
            <w:r>
              <w:t>Palūkanos, iš viso:</w:t>
            </w:r>
          </w:p>
        </w:tc>
        <w:tc>
          <w:tcPr>
            <w:tcW w:w="970" w:type="dxa"/>
            <w:tcBorders>
              <w:top w:val="nil"/>
              <w:left w:val="nil"/>
              <w:bottom w:val="single" w:sz="4" w:space="0" w:color="auto"/>
              <w:right w:val="nil"/>
            </w:tcBorders>
            <w:shd w:val="clear" w:color="auto" w:fill="auto"/>
          </w:tcPr>
          <w:p w14:paraId="0DA54C48"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49"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4A"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4B"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4C"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4D"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4E"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4F" w14:textId="77777777" w:rsidR="00CA353F" w:rsidRDefault="00CA353F">
            <w:pPr>
              <w:ind w:firstLine="60"/>
              <w:jc w:val="right"/>
            </w:pPr>
          </w:p>
        </w:tc>
      </w:tr>
      <w:tr w:rsidR="00CA353F" w14:paraId="0DA54C5B"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51" w14:textId="77777777" w:rsidR="00CA353F" w:rsidRDefault="002C3F58">
            <w:pPr>
              <w:jc w:val="both"/>
            </w:pPr>
            <w:r>
              <w:t>3.6.1.</w:t>
            </w:r>
          </w:p>
        </w:tc>
        <w:tc>
          <w:tcPr>
            <w:tcW w:w="5315" w:type="dxa"/>
            <w:tcBorders>
              <w:top w:val="nil"/>
              <w:left w:val="nil"/>
              <w:bottom w:val="single" w:sz="4" w:space="0" w:color="auto"/>
              <w:right w:val="single" w:sz="8" w:space="0" w:color="auto"/>
            </w:tcBorders>
            <w:shd w:val="clear" w:color="auto" w:fill="auto"/>
          </w:tcPr>
          <w:p w14:paraId="0DA54C52" w14:textId="77777777" w:rsidR="00CA353F" w:rsidRDefault="002C3F58">
            <w:r>
              <w:t>iš  jų: palūkanos kitoms veikloms</w:t>
            </w:r>
          </w:p>
        </w:tc>
        <w:tc>
          <w:tcPr>
            <w:tcW w:w="970" w:type="dxa"/>
            <w:tcBorders>
              <w:top w:val="nil"/>
              <w:left w:val="nil"/>
              <w:bottom w:val="single" w:sz="4" w:space="0" w:color="auto"/>
              <w:right w:val="nil"/>
            </w:tcBorders>
            <w:shd w:val="clear" w:color="auto" w:fill="auto"/>
          </w:tcPr>
          <w:p w14:paraId="0DA54C53"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54"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55"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56"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57"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58"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59"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5A" w14:textId="77777777" w:rsidR="00CA353F" w:rsidRDefault="00CA353F">
            <w:pPr>
              <w:ind w:firstLine="60"/>
              <w:jc w:val="right"/>
            </w:pPr>
          </w:p>
        </w:tc>
      </w:tr>
      <w:tr w:rsidR="00CA353F" w14:paraId="0DA54C66"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5C" w14:textId="77777777" w:rsidR="00CA353F" w:rsidRDefault="002C3F58">
            <w:pPr>
              <w:jc w:val="both"/>
            </w:pPr>
            <w:r>
              <w:t>3.6'.</w:t>
            </w:r>
          </w:p>
        </w:tc>
        <w:tc>
          <w:tcPr>
            <w:tcW w:w="5315" w:type="dxa"/>
            <w:tcBorders>
              <w:top w:val="nil"/>
              <w:left w:val="nil"/>
              <w:bottom w:val="single" w:sz="4" w:space="0" w:color="auto"/>
              <w:right w:val="single" w:sz="8" w:space="0" w:color="auto"/>
            </w:tcBorders>
            <w:shd w:val="clear" w:color="auto" w:fill="auto"/>
          </w:tcPr>
          <w:p w14:paraId="0DA54C5D" w14:textId="77777777" w:rsidR="00CA353F" w:rsidRDefault="002C3F58">
            <w:r>
              <w:t>Planuojamos palūkanų sąnaudos dėl investicijų, iš viso</w:t>
            </w:r>
          </w:p>
        </w:tc>
        <w:tc>
          <w:tcPr>
            <w:tcW w:w="970" w:type="dxa"/>
            <w:tcBorders>
              <w:top w:val="nil"/>
              <w:left w:val="nil"/>
              <w:bottom w:val="single" w:sz="4" w:space="0" w:color="auto"/>
              <w:right w:val="nil"/>
            </w:tcBorders>
            <w:shd w:val="clear" w:color="auto" w:fill="auto"/>
          </w:tcPr>
          <w:p w14:paraId="0DA54C5E"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5F"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60"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61"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62"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63"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64"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65" w14:textId="77777777" w:rsidR="00CA353F" w:rsidRDefault="00CA353F">
            <w:pPr>
              <w:ind w:firstLine="60"/>
              <w:jc w:val="right"/>
            </w:pPr>
          </w:p>
        </w:tc>
      </w:tr>
      <w:tr w:rsidR="00CA353F" w14:paraId="0DA54C71"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67" w14:textId="77777777" w:rsidR="00CA353F" w:rsidRDefault="002C3F58">
            <w:pPr>
              <w:jc w:val="both"/>
            </w:pPr>
            <w:r>
              <w:t>3.6.2.</w:t>
            </w:r>
          </w:p>
        </w:tc>
        <w:tc>
          <w:tcPr>
            <w:tcW w:w="5315" w:type="dxa"/>
            <w:tcBorders>
              <w:top w:val="nil"/>
              <w:left w:val="nil"/>
              <w:bottom w:val="single" w:sz="4" w:space="0" w:color="auto"/>
              <w:right w:val="single" w:sz="8" w:space="0" w:color="auto"/>
            </w:tcBorders>
            <w:shd w:val="clear" w:color="auto" w:fill="auto"/>
          </w:tcPr>
          <w:p w14:paraId="0DA54C68" w14:textId="77777777" w:rsidR="00CA353F" w:rsidRDefault="002C3F58">
            <w:pPr>
              <w:ind w:firstLine="567"/>
            </w:pPr>
            <w:r>
              <w:t>už paskolas apyvartinėms lėšoms papildyti</w:t>
            </w:r>
          </w:p>
        </w:tc>
        <w:tc>
          <w:tcPr>
            <w:tcW w:w="970" w:type="dxa"/>
            <w:tcBorders>
              <w:top w:val="nil"/>
              <w:left w:val="nil"/>
              <w:bottom w:val="single" w:sz="4" w:space="0" w:color="auto"/>
              <w:right w:val="nil"/>
            </w:tcBorders>
            <w:shd w:val="clear" w:color="auto" w:fill="auto"/>
          </w:tcPr>
          <w:p w14:paraId="0DA54C69"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6A"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6B"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6C"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6D"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6E"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6F"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70" w14:textId="77777777" w:rsidR="00CA353F" w:rsidRDefault="00CA353F">
            <w:pPr>
              <w:ind w:firstLine="60"/>
              <w:jc w:val="right"/>
            </w:pPr>
          </w:p>
        </w:tc>
      </w:tr>
      <w:tr w:rsidR="00CA353F" w14:paraId="0DA54C7C"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72" w14:textId="77777777" w:rsidR="00CA353F" w:rsidRDefault="002C3F58">
            <w:pPr>
              <w:jc w:val="both"/>
            </w:pPr>
            <w:r>
              <w:t>3.6.3.</w:t>
            </w:r>
          </w:p>
        </w:tc>
        <w:tc>
          <w:tcPr>
            <w:tcW w:w="5315" w:type="dxa"/>
            <w:tcBorders>
              <w:top w:val="nil"/>
              <w:left w:val="nil"/>
              <w:bottom w:val="single" w:sz="4" w:space="0" w:color="auto"/>
              <w:right w:val="single" w:sz="8" w:space="0" w:color="auto"/>
            </w:tcBorders>
            <w:shd w:val="clear" w:color="auto" w:fill="auto"/>
          </w:tcPr>
          <w:p w14:paraId="0DA54C73" w14:textId="77777777" w:rsidR="00CA353F" w:rsidRDefault="002C3F58">
            <w:pPr>
              <w:ind w:firstLine="567"/>
            </w:pPr>
            <w:r>
              <w:t>už paskolas investicijoms</w:t>
            </w:r>
          </w:p>
        </w:tc>
        <w:tc>
          <w:tcPr>
            <w:tcW w:w="970" w:type="dxa"/>
            <w:tcBorders>
              <w:top w:val="nil"/>
              <w:left w:val="nil"/>
              <w:bottom w:val="single" w:sz="4" w:space="0" w:color="auto"/>
              <w:right w:val="nil"/>
            </w:tcBorders>
            <w:shd w:val="clear" w:color="auto" w:fill="auto"/>
          </w:tcPr>
          <w:p w14:paraId="0DA54C74"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75"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76"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77"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78"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79"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7A"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7B" w14:textId="77777777" w:rsidR="00CA353F" w:rsidRDefault="00CA353F">
            <w:pPr>
              <w:ind w:firstLine="60"/>
              <w:jc w:val="right"/>
            </w:pPr>
          </w:p>
        </w:tc>
      </w:tr>
      <w:tr w:rsidR="00CA353F" w14:paraId="0DA54C87"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7D" w14:textId="77777777" w:rsidR="00CA353F" w:rsidRDefault="002C3F58">
            <w:pPr>
              <w:jc w:val="both"/>
            </w:pPr>
            <w:r>
              <w:t>3.7.</w:t>
            </w:r>
          </w:p>
        </w:tc>
        <w:tc>
          <w:tcPr>
            <w:tcW w:w="5315" w:type="dxa"/>
            <w:tcBorders>
              <w:top w:val="nil"/>
              <w:left w:val="nil"/>
              <w:bottom w:val="single" w:sz="4" w:space="0" w:color="auto"/>
              <w:right w:val="single" w:sz="8" w:space="0" w:color="auto"/>
            </w:tcBorders>
            <w:shd w:val="clear" w:color="auto" w:fill="auto"/>
          </w:tcPr>
          <w:p w14:paraId="0DA54C7E" w14:textId="77777777" w:rsidR="00CA353F" w:rsidRDefault="002C3F58">
            <w:r>
              <w:t>Sąnaudos tiekimo saugumui buitiniams vartotojams užtikrinti, iš viso</w:t>
            </w:r>
          </w:p>
        </w:tc>
        <w:tc>
          <w:tcPr>
            <w:tcW w:w="970" w:type="dxa"/>
            <w:tcBorders>
              <w:top w:val="nil"/>
              <w:left w:val="nil"/>
              <w:bottom w:val="single" w:sz="4" w:space="0" w:color="auto"/>
              <w:right w:val="nil"/>
            </w:tcBorders>
            <w:shd w:val="clear" w:color="auto" w:fill="auto"/>
          </w:tcPr>
          <w:p w14:paraId="0DA54C7F"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80"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81"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82"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83"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84"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85"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86" w14:textId="77777777" w:rsidR="00CA353F" w:rsidRDefault="00CA353F">
            <w:pPr>
              <w:ind w:firstLine="60"/>
              <w:jc w:val="right"/>
            </w:pPr>
          </w:p>
        </w:tc>
      </w:tr>
      <w:tr w:rsidR="00CA353F" w14:paraId="0DA54C92"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88" w14:textId="77777777" w:rsidR="00CA353F" w:rsidRDefault="002C3F58">
            <w:pPr>
              <w:jc w:val="both"/>
            </w:pPr>
            <w:r>
              <w:t>3.7.1.</w:t>
            </w:r>
          </w:p>
        </w:tc>
        <w:tc>
          <w:tcPr>
            <w:tcW w:w="5315" w:type="dxa"/>
            <w:tcBorders>
              <w:top w:val="nil"/>
              <w:left w:val="nil"/>
              <w:bottom w:val="single" w:sz="4" w:space="0" w:color="auto"/>
              <w:right w:val="single" w:sz="8" w:space="0" w:color="auto"/>
            </w:tcBorders>
            <w:shd w:val="clear" w:color="auto" w:fill="auto"/>
          </w:tcPr>
          <w:p w14:paraId="0DA54C89" w14:textId="77777777" w:rsidR="00CA353F" w:rsidRDefault="002C3F58">
            <w:pPr>
              <w:ind w:firstLine="567"/>
            </w:pPr>
            <w:r>
              <w:t>palūkanų sąnaudos</w:t>
            </w:r>
          </w:p>
        </w:tc>
        <w:tc>
          <w:tcPr>
            <w:tcW w:w="970" w:type="dxa"/>
            <w:tcBorders>
              <w:top w:val="nil"/>
              <w:left w:val="nil"/>
              <w:bottom w:val="single" w:sz="4" w:space="0" w:color="auto"/>
              <w:right w:val="nil"/>
            </w:tcBorders>
            <w:shd w:val="clear" w:color="auto" w:fill="auto"/>
          </w:tcPr>
          <w:p w14:paraId="0DA54C8A"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8B"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8C"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8D"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8E"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8F"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90"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91" w14:textId="77777777" w:rsidR="00CA353F" w:rsidRDefault="00CA353F">
            <w:pPr>
              <w:ind w:firstLine="60"/>
              <w:jc w:val="right"/>
            </w:pPr>
          </w:p>
        </w:tc>
      </w:tr>
      <w:tr w:rsidR="00CA353F" w14:paraId="0DA54C9D"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93" w14:textId="77777777" w:rsidR="00CA353F" w:rsidRDefault="002C3F58">
            <w:pPr>
              <w:jc w:val="both"/>
            </w:pPr>
            <w:r>
              <w:t>3.7.2.</w:t>
            </w:r>
          </w:p>
        </w:tc>
        <w:tc>
          <w:tcPr>
            <w:tcW w:w="5315" w:type="dxa"/>
            <w:tcBorders>
              <w:top w:val="nil"/>
              <w:left w:val="nil"/>
              <w:bottom w:val="single" w:sz="4" w:space="0" w:color="auto"/>
              <w:right w:val="single" w:sz="8" w:space="0" w:color="auto"/>
            </w:tcBorders>
            <w:shd w:val="clear" w:color="auto" w:fill="auto"/>
          </w:tcPr>
          <w:p w14:paraId="0DA54C94" w14:textId="77777777" w:rsidR="00CA353F" w:rsidRDefault="002C3F58">
            <w:pPr>
              <w:ind w:firstLine="567"/>
            </w:pPr>
            <w:r>
              <w:t>dujų saugojimo išlaidos</w:t>
            </w:r>
          </w:p>
        </w:tc>
        <w:tc>
          <w:tcPr>
            <w:tcW w:w="970" w:type="dxa"/>
            <w:tcBorders>
              <w:top w:val="nil"/>
              <w:left w:val="nil"/>
              <w:bottom w:val="single" w:sz="4" w:space="0" w:color="auto"/>
              <w:right w:val="nil"/>
            </w:tcBorders>
            <w:shd w:val="clear" w:color="auto" w:fill="auto"/>
          </w:tcPr>
          <w:p w14:paraId="0DA54C95"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96"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97"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98"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99"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9A"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9B"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9C" w14:textId="77777777" w:rsidR="00CA353F" w:rsidRDefault="00CA353F">
            <w:pPr>
              <w:ind w:firstLine="60"/>
              <w:jc w:val="right"/>
            </w:pPr>
          </w:p>
        </w:tc>
      </w:tr>
      <w:tr w:rsidR="00CA353F" w14:paraId="0DA54CA8"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9E" w14:textId="77777777" w:rsidR="00CA353F" w:rsidRDefault="002C3F58">
            <w:pPr>
              <w:jc w:val="both"/>
            </w:pPr>
            <w:r>
              <w:t>3.7.3.</w:t>
            </w:r>
          </w:p>
        </w:tc>
        <w:tc>
          <w:tcPr>
            <w:tcW w:w="5315" w:type="dxa"/>
            <w:tcBorders>
              <w:top w:val="nil"/>
              <w:left w:val="nil"/>
              <w:bottom w:val="single" w:sz="4" w:space="0" w:color="auto"/>
              <w:right w:val="single" w:sz="8" w:space="0" w:color="auto"/>
            </w:tcBorders>
            <w:shd w:val="clear" w:color="auto" w:fill="auto"/>
          </w:tcPr>
          <w:p w14:paraId="0DA54C9F" w14:textId="77777777" w:rsidR="00CA353F" w:rsidRDefault="002C3F58">
            <w:pPr>
              <w:ind w:firstLine="567"/>
            </w:pPr>
            <w:r>
              <w:t>dujų transportavimo į ir iš saugyklos išlaidos</w:t>
            </w:r>
          </w:p>
        </w:tc>
        <w:tc>
          <w:tcPr>
            <w:tcW w:w="970" w:type="dxa"/>
            <w:tcBorders>
              <w:top w:val="nil"/>
              <w:left w:val="nil"/>
              <w:bottom w:val="single" w:sz="4" w:space="0" w:color="auto"/>
              <w:right w:val="nil"/>
            </w:tcBorders>
            <w:shd w:val="clear" w:color="auto" w:fill="auto"/>
          </w:tcPr>
          <w:p w14:paraId="0DA54CA0"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A1"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A2"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A3"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A4"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A5"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A6"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A7" w14:textId="77777777" w:rsidR="00CA353F" w:rsidRDefault="00CA353F">
            <w:pPr>
              <w:ind w:firstLine="60"/>
              <w:jc w:val="right"/>
            </w:pPr>
          </w:p>
        </w:tc>
      </w:tr>
      <w:tr w:rsidR="00CA353F" w14:paraId="0DA54CB3"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A9" w14:textId="77777777" w:rsidR="00CA353F" w:rsidRDefault="002C3F58">
            <w:pPr>
              <w:jc w:val="both"/>
            </w:pPr>
            <w:r>
              <w:t>3.8.</w:t>
            </w:r>
          </w:p>
        </w:tc>
        <w:tc>
          <w:tcPr>
            <w:tcW w:w="5315" w:type="dxa"/>
            <w:tcBorders>
              <w:top w:val="nil"/>
              <w:left w:val="nil"/>
              <w:bottom w:val="single" w:sz="4" w:space="0" w:color="auto"/>
              <w:right w:val="single" w:sz="8" w:space="0" w:color="auto"/>
            </w:tcBorders>
            <w:shd w:val="clear" w:color="auto" w:fill="auto"/>
          </w:tcPr>
          <w:p w14:paraId="0DA54CAA" w14:textId="77777777" w:rsidR="00CA353F" w:rsidRDefault="002C3F58">
            <w:r>
              <w:t>Paskirtojo tiekimo sąnaudos, iš viso</w:t>
            </w:r>
          </w:p>
        </w:tc>
        <w:tc>
          <w:tcPr>
            <w:tcW w:w="970" w:type="dxa"/>
            <w:tcBorders>
              <w:top w:val="nil"/>
              <w:left w:val="nil"/>
              <w:bottom w:val="single" w:sz="4" w:space="0" w:color="auto"/>
              <w:right w:val="nil"/>
            </w:tcBorders>
            <w:shd w:val="clear" w:color="auto" w:fill="auto"/>
          </w:tcPr>
          <w:p w14:paraId="0DA54CAB"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AC"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AD"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AE"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AF"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B0"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B1"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B2" w14:textId="77777777" w:rsidR="00CA353F" w:rsidRDefault="00CA353F">
            <w:pPr>
              <w:ind w:firstLine="60"/>
              <w:jc w:val="right"/>
            </w:pPr>
          </w:p>
        </w:tc>
      </w:tr>
      <w:tr w:rsidR="00CA353F" w14:paraId="0DA54CBE"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B4" w14:textId="77777777" w:rsidR="00CA353F" w:rsidRDefault="002C3F58">
            <w:pPr>
              <w:jc w:val="both"/>
            </w:pPr>
            <w:r>
              <w:t>4.</w:t>
            </w:r>
          </w:p>
        </w:tc>
        <w:tc>
          <w:tcPr>
            <w:tcW w:w="5315" w:type="dxa"/>
            <w:tcBorders>
              <w:top w:val="nil"/>
              <w:left w:val="nil"/>
              <w:bottom w:val="single" w:sz="4" w:space="0" w:color="auto"/>
              <w:right w:val="single" w:sz="8" w:space="0" w:color="auto"/>
            </w:tcBorders>
            <w:shd w:val="clear" w:color="auto" w:fill="auto"/>
          </w:tcPr>
          <w:p w14:paraId="0DA54CB5" w14:textId="77777777" w:rsidR="00CA353F" w:rsidRDefault="002C3F58">
            <w:r>
              <w:t>Priskaičiuota gamtinių dujų tiekimo veiklos pajamų, iš viso</w:t>
            </w:r>
          </w:p>
        </w:tc>
        <w:tc>
          <w:tcPr>
            <w:tcW w:w="970" w:type="dxa"/>
            <w:tcBorders>
              <w:top w:val="nil"/>
              <w:left w:val="nil"/>
              <w:bottom w:val="single" w:sz="4" w:space="0" w:color="auto"/>
              <w:right w:val="nil"/>
            </w:tcBorders>
            <w:shd w:val="clear" w:color="auto" w:fill="auto"/>
          </w:tcPr>
          <w:p w14:paraId="0DA54CB6"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B7"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B8"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B9"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BA"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BB"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BC"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BD" w14:textId="77777777" w:rsidR="00CA353F" w:rsidRDefault="00CA353F">
            <w:pPr>
              <w:ind w:firstLine="60"/>
              <w:jc w:val="right"/>
            </w:pPr>
          </w:p>
        </w:tc>
      </w:tr>
      <w:tr w:rsidR="00CA353F" w14:paraId="0DA54CC9"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BF" w14:textId="77777777" w:rsidR="00CA353F" w:rsidRDefault="002C3F58">
            <w:pPr>
              <w:jc w:val="both"/>
            </w:pPr>
            <w:r>
              <w:t>4.1.</w:t>
            </w:r>
          </w:p>
        </w:tc>
        <w:tc>
          <w:tcPr>
            <w:tcW w:w="5315" w:type="dxa"/>
            <w:tcBorders>
              <w:top w:val="nil"/>
              <w:left w:val="nil"/>
              <w:bottom w:val="single" w:sz="4" w:space="0" w:color="auto"/>
              <w:right w:val="single" w:sz="8" w:space="0" w:color="auto"/>
            </w:tcBorders>
            <w:shd w:val="clear" w:color="auto" w:fill="auto"/>
          </w:tcPr>
          <w:p w14:paraId="0DA54CC0" w14:textId="77777777" w:rsidR="00CA353F" w:rsidRDefault="002C3F58">
            <w:r>
              <w:t>iš jų:  iš buitinių vartotojų</w:t>
            </w:r>
          </w:p>
        </w:tc>
        <w:tc>
          <w:tcPr>
            <w:tcW w:w="970" w:type="dxa"/>
            <w:tcBorders>
              <w:top w:val="nil"/>
              <w:left w:val="nil"/>
              <w:bottom w:val="single" w:sz="4" w:space="0" w:color="auto"/>
              <w:right w:val="nil"/>
            </w:tcBorders>
            <w:shd w:val="clear" w:color="auto" w:fill="auto"/>
          </w:tcPr>
          <w:p w14:paraId="0DA54CC1"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C2"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C3"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C4"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C5"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C6"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C7"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C8" w14:textId="77777777" w:rsidR="00CA353F" w:rsidRDefault="00CA353F">
            <w:pPr>
              <w:ind w:firstLine="60"/>
              <w:jc w:val="right"/>
            </w:pPr>
          </w:p>
        </w:tc>
      </w:tr>
      <w:tr w:rsidR="00CA353F" w14:paraId="0DA54CD4"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CA" w14:textId="77777777" w:rsidR="00CA353F" w:rsidRDefault="002C3F58">
            <w:pPr>
              <w:jc w:val="both"/>
            </w:pPr>
            <w:r>
              <w:t>4.1.1.</w:t>
            </w:r>
          </w:p>
        </w:tc>
        <w:tc>
          <w:tcPr>
            <w:tcW w:w="5315" w:type="dxa"/>
            <w:tcBorders>
              <w:top w:val="nil"/>
              <w:left w:val="nil"/>
              <w:bottom w:val="single" w:sz="4" w:space="0" w:color="auto"/>
              <w:right w:val="single" w:sz="8" w:space="0" w:color="auto"/>
            </w:tcBorders>
            <w:shd w:val="clear" w:color="auto" w:fill="auto"/>
          </w:tcPr>
          <w:p w14:paraId="0DA54CCB" w14:textId="77777777" w:rsidR="00CA353F" w:rsidRDefault="002C3F58">
            <w:pPr>
              <w:rPr>
                <w:i/>
                <w:iCs/>
              </w:rPr>
            </w:pPr>
            <w:r>
              <w:rPr>
                <w:i/>
                <w:iCs/>
              </w:rPr>
              <w:t>(išvardinti pagal grupes)</w:t>
            </w:r>
          </w:p>
        </w:tc>
        <w:tc>
          <w:tcPr>
            <w:tcW w:w="970" w:type="dxa"/>
            <w:tcBorders>
              <w:top w:val="nil"/>
              <w:left w:val="nil"/>
              <w:bottom w:val="single" w:sz="4" w:space="0" w:color="auto"/>
              <w:right w:val="nil"/>
            </w:tcBorders>
            <w:shd w:val="clear" w:color="auto" w:fill="auto"/>
          </w:tcPr>
          <w:p w14:paraId="0DA54CCC"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CD"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CE"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CF"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D0"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D1"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D2"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D3" w14:textId="77777777" w:rsidR="00CA353F" w:rsidRDefault="00CA353F">
            <w:pPr>
              <w:ind w:firstLine="60"/>
              <w:jc w:val="right"/>
            </w:pPr>
          </w:p>
        </w:tc>
      </w:tr>
      <w:tr w:rsidR="00CA353F" w14:paraId="0DA54CDF"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D5" w14:textId="77777777" w:rsidR="00CA353F" w:rsidRDefault="002C3F58">
            <w:pPr>
              <w:jc w:val="both"/>
            </w:pPr>
            <w:r>
              <w:t>4.2.</w:t>
            </w:r>
          </w:p>
        </w:tc>
        <w:tc>
          <w:tcPr>
            <w:tcW w:w="5315" w:type="dxa"/>
            <w:tcBorders>
              <w:top w:val="nil"/>
              <w:left w:val="nil"/>
              <w:bottom w:val="single" w:sz="4" w:space="0" w:color="auto"/>
              <w:right w:val="single" w:sz="8" w:space="0" w:color="auto"/>
            </w:tcBorders>
            <w:shd w:val="clear" w:color="auto" w:fill="auto"/>
          </w:tcPr>
          <w:p w14:paraId="0DA54CD6" w14:textId="77777777" w:rsidR="00CA353F" w:rsidRDefault="002C3F58">
            <w:pPr>
              <w:ind w:firstLine="567"/>
            </w:pPr>
            <w:r>
              <w:t>iš paskirtojo tiekimo</w:t>
            </w:r>
          </w:p>
        </w:tc>
        <w:tc>
          <w:tcPr>
            <w:tcW w:w="970" w:type="dxa"/>
            <w:tcBorders>
              <w:top w:val="nil"/>
              <w:left w:val="nil"/>
              <w:bottom w:val="single" w:sz="4" w:space="0" w:color="auto"/>
              <w:right w:val="nil"/>
            </w:tcBorders>
            <w:shd w:val="clear" w:color="auto" w:fill="auto"/>
          </w:tcPr>
          <w:p w14:paraId="0DA54CD7"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D8"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D9"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DA"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DB"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DC"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DD"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DE" w14:textId="77777777" w:rsidR="00CA353F" w:rsidRDefault="00CA353F">
            <w:pPr>
              <w:ind w:firstLine="60"/>
              <w:jc w:val="right"/>
            </w:pPr>
          </w:p>
        </w:tc>
      </w:tr>
      <w:tr w:rsidR="00CA353F" w14:paraId="0DA54CEA"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E0" w14:textId="77777777" w:rsidR="00CA353F" w:rsidRDefault="002C3F58">
            <w:pPr>
              <w:jc w:val="both"/>
            </w:pPr>
            <w:r>
              <w:t>4.3.</w:t>
            </w:r>
          </w:p>
        </w:tc>
        <w:tc>
          <w:tcPr>
            <w:tcW w:w="5315" w:type="dxa"/>
            <w:tcBorders>
              <w:top w:val="nil"/>
              <w:left w:val="nil"/>
              <w:bottom w:val="single" w:sz="4" w:space="0" w:color="auto"/>
              <w:right w:val="single" w:sz="8" w:space="0" w:color="auto"/>
            </w:tcBorders>
            <w:shd w:val="clear" w:color="auto" w:fill="auto"/>
          </w:tcPr>
          <w:p w14:paraId="0DA54CE1" w14:textId="77777777" w:rsidR="00CA353F" w:rsidRDefault="002C3F58">
            <w:pPr>
              <w:ind w:firstLine="567"/>
            </w:pPr>
            <w:r>
              <w:t>iš nebuitinių vartotojų</w:t>
            </w:r>
          </w:p>
        </w:tc>
        <w:tc>
          <w:tcPr>
            <w:tcW w:w="970" w:type="dxa"/>
            <w:tcBorders>
              <w:top w:val="nil"/>
              <w:left w:val="nil"/>
              <w:bottom w:val="single" w:sz="4" w:space="0" w:color="auto"/>
              <w:right w:val="nil"/>
            </w:tcBorders>
            <w:shd w:val="clear" w:color="auto" w:fill="auto"/>
          </w:tcPr>
          <w:p w14:paraId="0DA54CE2"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E3"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E4"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E5"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E6"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E7"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E8"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E9" w14:textId="77777777" w:rsidR="00CA353F" w:rsidRDefault="00CA353F">
            <w:pPr>
              <w:ind w:firstLine="60"/>
              <w:jc w:val="right"/>
            </w:pPr>
          </w:p>
        </w:tc>
      </w:tr>
      <w:tr w:rsidR="00CA353F" w14:paraId="0DA54CF5"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EB" w14:textId="77777777" w:rsidR="00CA353F" w:rsidRDefault="002C3F58">
            <w:pPr>
              <w:jc w:val="both"/>
            </w:pPr>
            <w:r>
              <w:t>4.3.1.</w:t>
            </w:r>
          </w:p>
        </w:tc>
        <w:tc>
          <w:tcPr>
            <w:tcW w:w="5315" w:type="dxa"/>
            <w:tcBorders>
              <w:top w:val="nil"/>
              <w:left w:val="nil"/>
              <w:bottom w:val="single" w:sz="4" w:space="0" w:color="auto"/>
              <w:right w:val="single" w:sz="8" w:space="0" w:color="auto"/>
            </w:tcBorders>
            <w:shd w:val="clear" w:color="auto" w:fill="auto"/>
          </w:tcPr>
          <w:p w14:paraId="0DA54CEC" w14:textId="77777777" w:rsidR="00CA353F" w:rsidRDefault="002C3F58">
            <w:pPr>
              <w:ind w:firstLine="634"/>
              <w:rPr>
                <w:i/>
                <w:iCs/>
              </w:rPr>
            </w:pPr>
            <w:r>
              <w:rPr>
                <w:i/>
                <w:iCs/>
              </w:rPr>
              <w:t>(išvardinti pagal grupes)</w:t>
            </w:r>
          </w:p>
        </w:tc>
        <w:tc>
          <w:tcPr>
            <w:tcW w:w="970" w:type="dxa"/>
            <w:tcBorders>
              <w:top w:val="nil"/>
              <w:left w:val="nil"/>
              <w:bottom w:val="single" w:sz="4" w:space="0" w:color="auto"/>
              <w:right w:val="nil"/>
            </w:tcBorders>
            <w:shd w:val="clear" w:color="auto" w:fill="auto"/>
          </w:tcPr>
          <w:p w14:paraId="0DA54CED"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EE"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EF"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F0"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F1"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F2"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F3"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F4" w14:textId="77777777" w:rsidR="00CA353F" w:rsidRDefault="00CA353F">
            <w:pPr>
              <w:ind w:firstLine="60"/>
              <w:jc w:val="right"/>
            </w:pPr>
          </w:p>
        </w:tc>
      </w:tr>
      <w:tr w:rsidR="00CA353F" w14:paraId="0DA54D00"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CF6" w14:textId="77777777" w:rsidR="00CA353F" w:rsidRDefault="002C3F58">
            <w:pPr>
              <w:jc w:val="both"/>
            </w:pPr>
            <w:r>
              <w:t>4.3.1.1.</w:t>
            </w:r>
          </w:p>
        </w:tc>
        <w:tc>
          <w:tcPr>
            <w:tcW w:w="5315" w:type="dxa"/>
            <w:tcBorders>
              <w:top w:val="nil"/>
              <w:left w:val="nil"/>
              <w:bottom w:val="single" w:sz="4" w:space="0" w:color="auto"/>
              <w:right w:val="single" w:sz="8" w:space="0" w:color="auto"/>
            </w:tcBorders>
            <w:shd w:val="clear" w:color="auto" w:fill="auto"/>
          </w:tcPr>
          <w:p w14:paraId="0DA54CF7" w14:textId="77777777" w:rsidR="00CA353F" w:rsidRDefault="002C3F58">
            <w:pPr>
              <w:rPr>
                <w:i/>
                <w:iCs/>
              </w:rPr>
            </w:pPr>
            <w:r>
              <w:rPr>
                <w:i/>
                <w:iCs/>
              </w:rPr>
              <w:t>(išvardinti vartotojus, suvartojančius daugiau nei 15 mln. m</w:t>
            </w:r>
            <w:r>
              <w:rPr>
                <w:i/>
                <w:iCs/>
                <w:vertAlign w:val="superscript"/>
              </w:rPr>
              <w:t>3</w:t>
            </w:r>
            <w:r>
              <w:rPr>
                <w:i/>
                <w:iCs/>
              </w:rPr>
              <w:t xml:space="preserve"> per metus)</w:t>
            </w:r>
          </w:p>
        </w:tc>
        <w:tc>
          <w:tcPr>
            <w:tcW w:w="970" w:type="dxa"/>
            <w:tcBorders>
              <w:top w:val="nil"/>
              <w:left w:val="nil"/>
              <w:bottom w:val="single" w:sz="4" w:space="0" w:color="auto"/>
              <w:right w:val="nil"/>
            </w:tcBorders>
            <w:shd w:val="clear" w:color="auto" w:fill="auto"/>
          </w:tcPr>
          <w:p w14:paraId="0DA54CF8"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CF9"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CFA"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CFB"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CFC"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CFD"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CFE"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CFF" w14:textId="77777777" w:rsidR="00CA353F" w:rsidRDefault="00CA353F">
            <w:pPr>
              <w:ind w:firstLine="60"/>
              <w:jc w:val="right"/>
            </w:pPr>
          </w:p>
        </w:tc>
      </w:tr>
      <w:tr w:rsidR="00CA353F" w14:paraId="0DA54D0B"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D01" w14:textId="77777777" w:rsidR="00CA353F" w:rsidRDefault="002C3F58">
            <w:pPr>
              <w:jc w:val="both"/>
            </w:pPr>
            <w:r>
              <w:t>5.</w:t>
            </w:r>
          </w:p>
        </w:tc>
        <w:tc>
          <w:tcPr>
            <w:tcW w:w="5315" w:type="dxa"/>
            <w:tcBorders>
              <w:top w:val="nil"/>
              <w:left w:val="nil"/>
              <w:bottom w:val="single" w:sz="4" w:space="0" w:color="auto"/>
              <w:right w:val="single" w:sz="8" w:space="0" w:color="auto"/>
            </w:tcBorders>
            <w:shd w:val="clear" w:color="auto" w:fill="auto"/>
          </w:tcPr>
          <w:p w14:paraId="0DA54D02" w14:textId="77777777" w:rsidR="00CA353F" w:rsidRDefault="002C3F58">
            <w:r>
              <w:t>Pelnas (nuostolis) iš  gamtinių dujų  tiekimo veiklos</w:t>
            </w:r>
          </w:p>
        </w:tc>
        <w:tc>
          <w:tcPr>
            <w:tcW w:w="970" w:type="dxa"/>
            <w:tcBorders>
              <w:top w:val="nil"/>
              <w:left w:val="nil"/>
              <w:bottom w:val="single" w:sz="4" w:space="0" w:color="auto"/>
              <w:right w:val="nil"/>
            </w:tcBorders>
            <w:shd w:val="clear" w:color="auto" w:fill="auto"/>
          </w:tcPr>
          <w:p w14:paraId="0DA54D03"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D04"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D05"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D06"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D07"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D08"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D09"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D0A" w14:textId="77777777" w:rsidR="00CA353F" w:rsidRDefault="00CA353F">
            <w:pPr>
              <w:ind w:firstLine="60"/>
              <w:jc w:val="right"/>
            </w:pPr>
          </w:p>
        </w:tc>
      </w:tr>
      <w:tr w:rsidR="00CA353F" w14:paraId="0DA54D16"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D0C" w14:textId="77777777" w:rsidR="00CA353F" w:rsidRDefault="00CA353F">
            <w:pPr>
              <w:ind w:firstLine="60"/>
              <w:jc w:val="both"/>
            </w:pPr>
          </w:p>
        </w:tc>
        <w:tc>
          <w:tcPr>
            <w:tcW w:w="5315" w:type="dxa"/>
            <w:tcBorders>
              <w:top w:val="nil"/>
              <w:left w:val="nil"/>
              <w:bottom w:val="single" w:sz="4" w:space="0" w:color="auto"/>
              <w:right w:val="single" w:sz="8" w:space="0" w:color="auto"/>
            </w:tcBorders>
            <w:shd w:val="clear" w:color="auto" w:fill="auto"/>
          </w:tcPr>
          <w:p w14:paraId="0DA54D0D" w14:textId="77777777" w:rsidR="00CA353F" w:rsidRDefault="00CA353F">
            <w:pPr>
              <w:ind w:firstLine="60"/>
            </w:pPr>
          </w:p>
        </w:tc>
        <w:tc>
          <w:tcPr>
            <w:tcW w:w="970" w:type="dxa"/>
            <w:tcBorders>
              <w:top w:val="nil"/>
              <w:left w:val="nil"/>
              <w:bottom w:val="single" w:sz="4" w:space="0" w:color="auto"/>
              <w:right w:val="nil"/>
            </w:tcBorders>
            <w:shd w:val="clear" w:color="auto" w:fill="auto"/>
          </w:tcPr>
          <w:p w14:paraId="0DA54D0E" w14:textId="77777777" w:rsidR="00CA353F" w:rsidRDefault="00CA353F">
            <w:pPr>
              <w:ind w:firstLine="60"/>
              <w:jc w:val="center"/>
            </w:pPr>
          </w:p>
        </w:tc>
        <w:tc>
          <w:tcPr>
            <w:tcW w:w="1200" w:type="dxa"/>
            <w:tcBorders>
              <w:top w:val="nil"/>
              <w:left w:val="single" w:sz="8" w:space="0" w:color="auto"/>
              <w:bottom w:val="single" w:sz="4" w:space="0" w:color="auto"/>
              <w:right w:val="single" w:sz="4" w:space="0" w:color="auto"/>
            </w:tcBorders>
            <w:shd w:val="clear" w:color="auto" w:fill="auto"/>
          </w:tcPr>
          <w:p w14:paraId="0DA54D0F"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D10"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D11"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D12"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D13"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D14"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D15" w14:textId="77777777" w:rsidR="00CA353F" w:rsidRDefault="00CA353F">
            <w:pPr>
              <w:ind w:firstLine="60"/>
              <w:jc w:val="right"/>
            </w:pPr>
          </w:p>
        </w:tc>
      </w:tr>
      <w:tr w:rsidR="00CA353F" w14:paraId="0DA54D21"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D17" w14:textId="77777777" w:rsidR="00CA353F" w:rsidRDefault="00CA353F">
            <w:pPr>
              <w:ind w:firstLine="60"/>
              <w:jc w:val="both"/>
            </w:pPr>
          </w:p>
        </w:tc>
        <w:tc>
          <w:tcPr>
            <w:tcW w:w="5315" w:type="dxa"/>
            <w:tcBorders>
              <w:top w:val="nil"/>
              <w:left w:val="nil"/>
              <w:bottom w:val="single" w:sz="4" w:space="0" w:color="auto"/>
              <w:right w:val="single" w:sz="8" w:space="0" w:color="auto"/>
            </w:tcBorders>
            <w:shd w:val="clear" w:color="auto" w:fill="auto"/>
          </w:tcPr>
          <w:p w14:paraId="0DA54D18" w14:textId="77777777" w:rsidR="00CA353F" w:rsidRDefault="002C3F58">
            <w:r>
              <w:t>PAPILDOMI RODIKLIAI</w:t>
            </w:r>
          </w:p>
        </w:tc>
        <w:tc>
          <w:tcPr>
            <w:tcW w:w="970" w:type="dxa"/>
            <w:tcBorders>
              <w:top w:val="nil"/>
              <w:left w:val="nil"/>
              <w:bottom w:val="single" w:sz="4" w:space="0" w:color="auto"/>
              <w:right w:val="nil"/>
            </w:tcBorders>
            <w:shd w:val="clear" w:color="auto" w:fill="auto"/>
          </w:tcPr>
          <w:p w14:paraId="0DA54D19" w14:textId="77777777" w:rsidR="00CA353F" w:rsidRDefault="00CA353F">
            <w:pPr>
              <w:ind w:firstLine="60"/>
              <w:jc w:val="center"/>
            </w:pPr>
          </w:p>
        </w:tc>
        <w:tc>
          <w:tcPr>
            <w:tcW w:w="1200" w:type="dxa"/>
            <w:tcBorders>
              <w:top w:val="nil"/>
              <w:left w:val="single" w:sz="8" w:space="0" w:color="auto"/>
              <w:bottom w:val="single" w:sz="4" w:space="0" w:color="auto"/>
              <w:right w:val="single" w:sz="4" w:space="0" w:color="auto"/>
            </w:tcBorders>
            <w:shd w:val="clear" w:color="auto" w:fill="auto"/>
          </w:tcPr>
          <w:p w14:paraId="0DA54D1A"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D1B"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D1C"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D1D"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D1E"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D1F"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D20" w14:textId="77777777" w:rsidR="00CA353F" w:rsidRDefault="00CA353F">
            <w:pPr>
              <w:ind w:firstLine="60"/>
              <w:jc w:val="right"/>
            </w:pPr>
          </w:p>
        </w:tc>
      </w:tr>
      <w:tr w:rsidR="00CA353F" w14:paraId="0DA54D2C" w14:textId="77777777">
        <w:trPr>
          <w:trHeight w:val="240"/>
        </w:trPr>
        <w:tc>
          <w:tcPr>
            <w:tcW w:w="1180" w:type="dxa"/>
            <w:tcBorders>
              <w:top w:val="nil"/>
              <w:left w:val="single" w:sz="8" w:space="0" w:color="auto"/>
              <w:bottom w:val="single" w:sz="4" w:space="0" w:color="auto"/>
              <w:right w:val="single" w:sz="4" w:space="0" w:color="auto"/>
            </w:tcBorders>
            <w:shd w:val="clear" w:color="auto" w:fill="auto"/>
          </w:tcPr>
          <w:p w14:paraId="0DA54D22" w14:textId="77777777" w:rsidR="00CA353F" w:rsidRDefault="00CA353F">
            <w:pPr>
              <w:ind w:firstLine="60"/>
              <w:jc w:val="both"/>
            </w:pPr>
          </w:p>
        </w:tc>
        <w:tc>
          <w:tcPr>
            <w:tcW w:w="5315" w:type="dxa"/>
            <w:tcBorders>
              <w:top w:val="nil"/>
              <w:left w:val="nil"/>
              <w:bottom w:val="single" w:sz="4" w:space="0" w:color="auto"/>
              <w:right w:val="single" w:sz="8" w:space="0" w:color="auto"/>
            </w:tcBorders>
            <w:shd w:val="clear" w:color="auto" w:fill="auto"/>
          </w:tcPr>
          <w:p w14:paraId="0DA54D23" w14:textId="77777777" w:rsidR="00CA353F" w:rsidRDefault="00CA353F">
            <w:pPr>
              <w:ind w:firstLine="60"/>
            </w:pPr>
          </w:p>
        </w:tc>
        <w:tc>
          <w:tcPr>
            <w:tcW w:w="970" w:type="dxa"/>
            <w:tcBorders>
              <w:top w:val="nil"/>
              <w:left w:val="nil"/>
              <w:bottom w:val="single" w:sz="4" w:space="0" w:color="auto"/>
              <w:right w:val="nil"/>
            </w:tcBorders>
            <w:shd w:val="clear" w:color="auto" w:fill="auto"/>
          </w:tcPr>
          <w:p w14:paraId="0DA54D24" w14:textId="77777777" w:rsidR="00CA353F" w:rsidRDefault="00CA353F">
            <w:pPr>
              <w:ind w:firstLine="60"/>
              <w:jc w:val="center"/>
            </w:pPr>
          </w:p>
        </w:tc>
        <w:tc>
          <w:tcPr>
            <w:tcW w:w="1200" w:type="dxa"/>
            <w:tcBorders>
              <w:top w:val="nil"/>
              <w:left w:val="single" w:sz="8" w:space="0" w:color="auto"/>
              <w:bottom w:val="single" w:sz="4" w:space="0" w:color="auto"/>
              <w:right w:val="single" w:sz="4" w:space="0" w:color="auto"/>
            </w:tcBorders>
            <w:shd w:val="clear" w:color="auto" w:fill="auto"/>
          </w:tcPr>
          <w:p w14:paraId="0DA54D25"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D26"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D27"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D28"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D29"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D2A"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D2B" w14:textId="77777777" w:rsidR="00CA353F" w:rsidRDefault="00CA353F">
            <w:pPr>
              <w:ind w:firstLine="60"/>
              <w:jc w:val="right"/>
            </w:pPr>
          </w:p>
        </w:tc>
      </w:tr>
      <w:tr w:rsidR="00CA353F" w14:paraId="0DA54D37"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D2D" w14:textId="77777777" w:rsidR="00CA353F" w:rsidRDefault="002C3F58">
            <w:pPr>
              <w:jc w:val="both"/>
            </w:pPr>
            <w:r>
              <w:t>1.</w:t>
            </w:r>
          </w:p>
        </w:tc>
        <w:tc>
          <w:tcPr>
            <w:tcW w:w="5315" w:type="dxa"/>
            <w:tcBorders>
              <w:top w:val="nil"/>
              <w:left w:val="nil"/>
              <w:bottom w:val="single" w:sz="4" w:space="0" w:color="auto"/>
              <w:right w:val="single" w:sz="8" w:space="0" w:color="auto"/>
            </w:tcBorders>
            <w:shd w:val="clear" w:color="auto" w:fill="auto"/>
          </w:tcPr>
          <w:p w14:paraId="0DA54D2E" w14:textId="77777777" w:rsidR="00CA353F" w:rsidRDefault="002C3F58">
            <w:r>
              <w:t>Vidutinis sąrašinis gamtinių dujų  tiekimo veiklos darbuotojų skaičius, iš viso</w:t>
            </w:r>
          </w:p>
        </w:tc>
        <w:tc>
          <w:tcPr>
            <w:tcW w:w="970" w:type="dxa"/>
            <w:tcBorders>
              <w:top w:val="nil"/>
              <w:left w:val="nil"/>
              <w:bottom w:val="single" w:sz="4" w:space="0" w:color="auto"/>
              <w:right w:val="nil"/>
            </w:tcBorders>
            <w:shd w:val="clear" w:color="auto" w:fill="auto"/>
          </w:tcPr>
          <w:p w14:paraId="0DA54D2F" w14:textId="77777777" w:rsidR="00CA353F" w:rsidRDefault="002C3F58">
            <w:pPr>
              <w:jc w:val="center"/>
            </w:pPr>
            <w:r>
              <w:t>žm.</w:t>
            </w:r>
          </w:p>
        </w:tc>
        <w:tc>
          <w:tcPr>
            <w:tcW w:w="1200" w:type="dxa"/>
            <w:tcBorders>
              <w:top w:val="nil"/>
              <w:left w:val="single" w:sz="8" w:space="0" w:color="auto"/>
              <w:bottom w:val="single" w:sz="4" w:space="0" w:color="auto"/>
              <w:right w:val="single" w:sz="4" w:space="0" w:color="auto"/>
            </w:tcBorders>
            <w:shd w:val="clear" w:color="auto" w:fill="auto"/>
          </w:tcPr>
          <w:p w14:paraId="0DA54D30"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D31"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D32"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D33"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D34"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D35"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D36" w14:textId="77777777" w:rsidR="00CA353F" w:rsidRDefault="00CA353F">
            <w:pPr>
              <w:ind w:firstLine="60"/>
              <w:jc w:val="right"/>
            </w:pPr>
          </w:p>
        </w:tc>
      </w:tr>
      <w:tr w:rsidR="00CA353F" w14:paraId="0DA54D42"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D38" w14:textId="77777777" w:rsidR="00CA353F" w:rsidRDefault="002C3F58">
            <w:pPr>
              <w:jc w:val="both"/>
            </w:pPr>
            <w:r>
              <w:t>2.</w:t>
            </w:r>
          </w:p>
        </w:tc>
        <w:tc>
          <w:tcPr>
            <w:tcW w:w="5315" w:type="dxa"/>
            <w:tcBorders>
              <w:top w:val="nil"/>
              <w:left w:val="nil"/>
              <w:bottom w:val="single" w:sz="4" w:space="0" w:color="auto"/>
              <w:right w:val="single" w:sz="8" w:space="0" w:color="auto"/>
            </w:tcBorders>
            <w:shd w:val="clear" w:color="auto" w:fill="auto"/>
          </w:tcPr>
          <w:p w14:paraId="0DA54D39" w14:textId="77777777" w:rsidR="00CA353F" w:rsidRDefault="002C3F58">
            <w:r>
              <w:t>Vidutinis mėnesinis reguliuojamos gamtinių dujų veiklos atlyginimas</w:t>
            </w:r>
          </w:p>
        </w:tc>
        <w:tc>
          <w:tcPr>
            <w:tcW w:w="970" w:type="dxa"/>
            <w:tcBorders>
              <w:top w:val="nil"/>
              <w:left w:val="nil"/>
              <w:bottom w:val="single" w:sz="4" w:space="0" w:color="auto"/>
              <w:right w:val="nil"/>
            </w:tcBorders>
            <w:shd w:val="clear" w:color="auto" w:fill="auto"/>
          </w:tcPr>
          <w:p w14:paraId="0DA54D3A" w14:textId="77777777" w:rsidR="00CA353F" w:rsidRDefault="002C3F58">
            <w:pPr>
              <w:jc w:val="center"/>
            </w:pPr>
            <w:r>
              <w:t>Lt/mėn.</w:t>
            </w:r>
          </w:p>
        </w:tc>
        <w:tc>
          <w:tcPr>
            <w:tcW w:w="1200" w:type="dxa"/>
            <w:tcBorders>
              <w:top w:val="nil"/>
              <w:left w:val="single" w:sz="8" w:space="0" w:color="auto"/>
              <w:bottom w:val="single" w:sz="4" w:space="0" w:color="auto"/>
              <w:right w:val="single" w:sz="4" w:space="0" w:color="auto"/>
            </w:tcBorders>
            <w:shd w:val="clear" w:color="auto" w:fill="auto"/>
          </w:tcPr>
          <w:p w14:paraId="0DA54D3B"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D3C"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D3D"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D3E"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D3F"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D40"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D41" w14:textId="77777777" w:rsidR="00CA353F" w:rsidRDefault="00CA353F">
            <w:pPr>
              <w:ind w:firstLine="60"/>
              <w:jc w:val="right"/>
            </w:pPr>
          </w:p>
        </w:tc>
      </w:tr>
      <w:tr w:rsidR="00CA353F" w14:paraId="0DA54D4D"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D43" w14:textId="77777777" w:rsidR="00CA353F" w:rsidRDefault="002C3F58">
            <w:pPr>
              <w:jc w:val="both"/>
            </w:pPr>
            <w:r>
              <w:t>3.</w:t>
            </w:r>
          </w:p>
        </w:tc>
        <w:tc>
          <w:tcPr>
            <w:tcW w:w="5315" w:type="dxa"/>
            <w:tcBorders>
              <w:top w:val="nil"/>
              <w:left w:val="nil"/>
              <w:bottom w:val="single" w:sz="4" w:space="0" w:color="auto"/>
              <w:right w:val="single" w:sz="8" w:space="0" w:color="auto"/>
            </w:tcBorders>
            <w:shd w:val="clear" w:color="auto" w:fill="auto"/>
          </w:tcPr>
          <w:p w14:paraId="0DA54D44" w14:textId="77777777" w:rsidR="00CA353F" w:rsidRDefault="002C3F58">
            <w:r>
              <w:t>Vartotojų skaičius iš viso:</w:t>
            </w:r>
          </w:p>
        </w:tc>
        <w:tc>
          <w:tcPr>
            <w:tcW w:w="970" w:type="dxa"/>
            <w:tcBorders>
              <w:top w:val="nil"/>
              <w:left w:val="nil"/>
              <w:bottom w:val="single" w:sz="4" w:space="0" w:color="auto"/>
              <w:right w:val="nil"/>
            </w:tcBorders>
            <w:shd w:val="clear" w:color="auto" w:fill="auto"/>
          </w:tcPr>
          <w:p w14:paraId="0DA54D45" w14:textId="77777777" w:rsidR="00CA353F" w:rsidRDefault="002C3F58">
            <w:pPr>
              <w:jc w:val="center"/>
            </w:pPr>
            <w:r>
              <w:t>vart. sk.</w:t>
            </w:r>
          </w:p>
        </w:tc>
        <w:tc>
          <w:tcPr>
            <w:tcW w:w="1200" w:type="dxa"/>
            <w:tcBorders>
              <w:top w:val="nil"/>
              <w:left w:val="single" w:sz="8" w:space="0" w:color="auto"/>
              <w:bottom w:val="single" w:sz="4" w:space="0" w:color="auto"/>
              <w:right w:val="single" w:sz="4" w:space="0" w:color="auto"/>
            </w:tcBorders>
            <w:shd w:val="clear" w:color="auto" w:fill="auto"/>
          </w:tcPr>
          <w:p w14:paraId="0DA54D46"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D47"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D48"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D49"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D4A"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D4B"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D4C" w14:textId="77777777" w:rsidR="00CA353F" w:rsidRDefault="00CA353F">
            <w:pPr>
              <w:ind w:firstLine="60"/>
              <w:jc w:val="right"/>
            </w:pPr>
          </w:p>
        </w:tc>
      </w:tr>
      <w:tr w:rsidR="00CA353F" w14:paraId="0DA54D58" w14:textId="77777777">
        <w:trPr>
          <w:trHeight w:val="255"/>
        </w:trPr>
        <w:tc>
          <w:tcPr>
            <w:tcW w:w="1180" w:type="dxa"/>
            <w:tcBorders>
              <w:top w:val="nil"/>
              <w:left w:val="single" w:sz="8" w:space="0" w:color="auto"/>
              <w:bottom w:val="single" w:sz="4" w:space="0" w:color="auto"/>
              <w:right w:val="single" w:sz="4" w:space="0" w:color="auto"/>
            </w:tcBorders>
            <w:shd w:val="clear" w:color="auto" w:fill="auto"/>
          </w:tcPr>
          <w:p w14:paraId="0DA54D4E" w14:textId="77777777" w:rsidR="00CA353F" w:rsidRDefault="002C3F58">
            <w:pPr>
              <w:jc w:val="both"/>
            </w:pPr>
            <w:r>
              <w:t>3.1.</w:t>
            </w:r>
          </w:p>
        </w:tc>
        <w:tc>
          <w:tcPr>
            <w:tcW w:w="5315" w:type="dxa"/>
            <w:tcBorders>
              <w:top w:val="nil"/>
              <w:left w:val="nil"/>
              <w:bottom w:val="single" w:sz="4" w:space="0" w:color="auto"/>
              <w:right w:val="single" w:sz="8" w:space="0" w:color="auto"/>
            </w:tcBorders>
            <w:shd w:val="clear" w:color="auto" w:fill="auto"/>
          </w:tcPr>
          <w:p w14:paraId="0DA54D4F" w14:textId="77777777" w:rsidR="00CA353F" w:rsidRDefault="002C3F58">
            <w:pPr>
              <w:rPr>
                <w:i/>
                <w:iCs/>
              </w:rPr>
            </w:pPr>
            <w:r>
              <w:rPr>
                <w:i/>
                <w:iCs/>
              </w:rPr>
              <w:t>(išvardinti pagal grupes)</w:t>
            </w:r>
          </w:p>
        </w:tc>
        <w:tc>
          <w:tcPr>
            <w:tcW w:w="970" w:type="dxa"/>
            <w:tcBorders>
              <w:top w:val="nil"/>
              <w:left w:val="nil"/>
              <w:bottom w:val="single" w:sz="4" w:space="0" w:color="auto"/>
              <w:right w:val="nil"/>
            </w:tcBorders>
            <w:shd w:val="clear" w:color="auto" w:fill="auto"/>
          </w:tcPr>
          <w:p w14:paraId="0DA54D50" w14:textId="77777777" w:rsidR="00CA353F" w:rsidRDefault="002C3F58">
            <w:pPr>
              <w:jc w:val="center"/>
            </w:pPr>
            <w:r>
              <w:t>"</w:t>
            </w:r>
          </w:p>
        </w:tc>
        <w:tc>
          <w:tcPr>
            <w:tcW w:w="1200" w:type="dxa"/>
            <w:tcBorders>
              <w:top w:val="nil"/>
              <w:left w:val="single" w:sz="8" w:space="0" w:color="auto"/>
              <w:bottom w:val="single" w:sz="4" w:space="0" w:color="auto"/>
              <w:right w:val="single" w:sz="4" w:space="0" w:color="auto"/>
            </w:tcBorders>
            <w:shd w:val="clear" w:color="auto" w:fill="auto"/>
          </w:tcPr>
          <w:p w14:paraId="0DA54D51" w14:textId="77777777" w:rsidR="00CA353F" w:rsidRDefault="00CA353F">
            <w:pPr>
              <w:ind w:firstLine="60"/>
              <w:jc w:val="center"/>
            </w:pPr>
          </w:p>
        </w:tc>
        <w:tc>
          <w:tcPr>
            <w:tcW w:w="1180" w:type="dxa"/>
            <w:tcBorders>
              <w:top w:val="nil"/>
              <w:left w:val="nil"/>
              <w:bottom w:val="single" w:sz="4" w:space="0" w:color="auto"/>
              <w:right w:val="single" w:sz="4" w:space="0" w:color="auto"/>
            </w:tcBorders>
            <w:shd w:val="clear" w:color="auto" w:fill="auto"/>
          </w:tcPr>
          <w:p w14:paraId="0DA54D52" w14:textId="77777777" w:rsidR="00CA353F" w:rsidRDefault="00CA353F">
            <w:pPr>
              <w:ind w:firstLine="60"/>
              <w:jc w:val="center"/>
            </w:pPr>
          </w:p>
        </w:tc>
        <w:tc>
          <w:tcPr>
            <w:tcW w:w="1220" w:type="dxa"/>
            <w:tcBorders>
              <w:top w:val="nil"/>
              <w:left w:val="nil"/>
              <w:bottom w:val="single" w:sz="4" w:space="0" w:color="auto"/>
              <w:right w:val="single" w:sz="4" w:space="0" w:color="auto"/>
            </w:tcBorders>
            <w:shd w:val="clear" w:color="auto" w:fill="auto"/>
          </w:tcPr>
          <w:p w14:paraId="0DA54D53" w14:textId="77777777" w:rsidR="00CA353F" w:rsidRDefault="00CA353F">
            <w:pPr>
              <w:ind w:firstLine="60"/>
              <w:jc w:val="center"/>
            </w:pPr>
          </w:p>
        </w:tc>
        <w:tc>
          <w:tcPr>
            <w:tcW w:w="1320" w:type="dxa"/>
            <w:tcBorders>
              <w:top w:val="nil"/>
              <w:left w:val="nil"/>
              <w:bottom w:val="single" w:sz="4" w:space="0" w:color="auto"/>
              <w:right w:val="single" w:sz="4" w:space="0" w:color="auto"/>
            </w:tcBorders>
            <w:shd w:val="clear" w:color="auto" w:fill="auto"/>
          </w:tcPr>
          <w:p w14:paraId="0DA54D54" w14:textId="77777777" w:rsidR="00CA353F" w:rsidRDefault="00CA353F">
            <w:pPr>
              <w:ind w:firstLine="60"/>
              <w:jc w:val="center"/>
            </w:pPr>
          </w:p>
        </w:tc>
        <w:tc>
          <w:tcPr>
            <w:tcW w:w="1280" w:type="dxa"/>
            <w:tcBorders>
              <w:top w:val="nil"/>
              <w:left w:val="nil"/>
              <w:bottom w:val="single" w:sz="4" w:space="0" w:color="auto"/>
              <w:right w:val="nil"/>
            </w:tcBorders>
            <w:shd w:val="clear" w:color="auto" w:fill="auto"/>
          </w:tcPr>
          <w:p w14:paraId="0DA54D55" w14:textId="77777777" w:rsidR="00CA353F" w:rsidRDefault="00CA353F">
            <w:pPr>
              <w:ind w:firstLine="60"/>
              <w:jc w:val="center"/>
            </w:pPr>
          </w:p>
        </w:tc>
        <w:tc>
          <w:tcPr>
            <w:tcW w:w="1320" w:type="dxa"/>
            <w:tcBorders>
              <w:top w:val="nil"/>
              <w:left w:val="single" w:sz="4" w:space="0" w:color="auto"/>
              <w:bottom w:val="single" w:sz="4" w:space="0" w:color="auto"/>
              <w:right w:val="single" w:sz="4" w:space="0" w:color="auto"/>
            </w:tcBorders>
            <w:shd w:val="clear" w:color="auto" w:fill="auto"/>
          </w:tcPr>
          <w:p w14:paraId="0DA54D56" w14:textId="77777777" w:rsidR="00CA353F" w:rsidRDefault="00CA353F">
            <w:pPr>
              <w:ind w:firstLine="60"/>
              <w:jc w:val="right"/>
            </w:pPr>
          </w:p>
        </w:tc>
        <w:tc>
          <w:tcPr>
            <w:tcW w:w="1320" w:type="dxa"/>
            <w:tcBorders>
              <w:top w:val="nil"/>
              <w:left w:val="nil"/>
              <w:bottom w:val="single" w:sz="4" w:space="0" w:color="auto"/>
              <w:right w:val="single" w:sz="8" w:space="0" w:color="auto"/>
            </w:tcBorders>
            <w:shd w:val="clear" w:color="auto" w:fill="auto"/>
          </w:tcPr>
          <w:p w14:paraId="0DA54D57" w14:textId="77777777" w:rsidR="00CA353F" w:rsidRDefault="00CA353F">
            <w:pPr>
              <w:ind w:firstLine="60"/>
              <w:jc w:val="right"/>
            </w:pPr>
          </w:p>
        </w:tc>
      </w:tr>
      <w:tr w:rsidR="00CA353F" w14:paraId="0DA54D63" w14:textId="77777777">
        <w:trPr>
          <w:trHeight w:val="255"/>
        </w:trPr>
        <w:tc>
          <w:tcPr>
            <w:tcW w:w="1180" w:type="dxa"/>
            <w:tcBorders>
              <w:top w:val="nil"/>
              <w:left w:val="single" w:sz="8" w:space="0" w:color="auto"/>
              <w:bottom w:val="single" w:sz="8" w:space="0" w:color="auto"/>
              <w:right w:val="single" w:sz="4" w:space="0" w:color="auto"/>
            </w:tcBorders>
            <w:shd w:val="clear" w:color="auto" w:fill="auto"/>
          </w:tcPr>
          <w:p w14:paraId="0DA54D59" w14:textId="77777777" w:rsidR="00CA353F" w:rsidRDefault="00CA353F">
            <w:pPr>
              <w:ind w:firstLine="60"/>
              <w:jc w:val="both"/>
            </w:pPr>
          </w:p>
        </w:tc>
        <w:tc>
          <w:tcPr>
            <w:tcW w:w="5315" w:type="dxa"/>
            <w:tcBorders>
              <w:top w:val="nil"/>
              <w:left w:val="nil"/>
              <w:bottom w:val="single" w:sz="8" w:space="0" w:color="auto"/>
              <w:right w:val="single" w:sz="8" w:space="0" w:color="auto"/>
            </w:tcBorders>
            <w:shd w:val="clear" w:color="auto" w:fill="auto"/>
          </w:tcPr>
          <w:p w14:paraId="0DA54D5A" w14:textId="77777777" w:rsidR="00CA353F" w:rsidRDefault="00CA353F">
            <w:pPr>
              <w:ind w:firstLine="60"/>
            </w:pPr>
          </w:p>
        </w:tc>
        <w:tc>
          <w:tcPr>
            <w:tcW w:w="970" w:type="dxa"/>
            <w:tcBorders>
              <w:top w:val="nil"/>
              <w:left w:val="nil"/>
              <w:bottom w:val="single" w:sz="8" w:space="0" w:color="auto"/>
              <w:right w:val="nil"/>
            </w:tcBorders>
            <w:shd w:val="clear" w:color="auto" w:fill="auto"/>
          </w:tcPr>
          <w:p w14:paraId="0DA54D5B" w14:textId="77777777" w:rsidR="00CA353F" w:rsidRDefault="00CA353F">
            <w:pPr>
              <w:ind w:firstLine="60"/>
              <w:jc w:val="right"/>
            </w:pPr>
          </w:p>
        </w:tc>
        <w:tc>
          <w:tcPr>
            <w:tcW w:w="1200" w:type="dxa"/>
            <w:tcBorders>
              <w:top w:val="nil"/>
              <w:left w:val="single" w:sz="8" w:space="0" w:color="auto"/>
              <w:bottom w:val="single" w:sz="8" w:space="0" w:color="auto"/>
              <w:right w:val="single" w:sz="4" w:space="0" w:color="auto"/>
            </w:tcBorders>
            <w:shd w:val="clear" w:color="auto" w:fill="auto"/>
          </w:tcPr>
          <w:p w14:paraId="0DA54D5C" w14:textId="77777777" w:rsidR="00CA353F" w:rsidRDefault="00CA353F">
            <w:pPr>
              <w:ind w:firstLine="60"/>
              <w:jc w:val="right"/>
            </w:pPr>
          </w:p>
        </w:tc>
        <w:tc>
          <w:tcPr>
            <w:tcW w:w="1180" w:type="dxa"/>
            <w:tcBorders>
              <w:top w:val="nil"/>
              <w:left w:val="nil"/>
              <w:bottom w:val="single" w:sz="8" w:space="0" w:color="auto"/>
              <w:right w:val="single" w:sz="4" w:space="0" w:color="auto"/>
            </w:tcBorders>
            <w:shd w:val="clear" w:color="auto" w:fill="auto"/>
          </w:tcPr>
          <w:p w14:paraId="0DA54D5D" w14:textId="77777777" w:rsidR="00CA353F" w:rsidRDefault="00CA353F">
            <w:pPr>
              <w:ind w:firstLine="60"/>
              <w:jc w:val="right"/>
            </w:pPr>
          </w:p>
        </w:tc>
        <w:tc>
          <w:tcPr>
            <w:tcW w:w="1220" w:type="dxa"/>
            <w:tcBorders>
              <w:top w:val="nil"/>
              <w:left w:val="nil"/>
              <w:bottom w:val="single" w:sz="8" w:space="0" w:color="auto"/>
              <w:right w:val="single" w:sz="4" w:space="0" w:color="auto"/>
            </w:tcBorders>
            <w:shd w:val="clear" w:color="auto" w:fill="auto"/>
          </w:tcPr>
          <w:p w14:paraId="0DA54D5E" w14:textId="77777777" w:rsidR="00CA353F" w:rsidRDefault="00CA353F">
            <w:pPr>
              <w:ind w:firstLine="60"/>
              <w:jc w:val="right"/>
            </w:pPr>
          </w:p>
        </w:tc>
        <w:tc>
          <w:tcPr>
            <w:tcW w:w="1320" w:type="dxa"/>
            <w:tcBorders>
              <w:top w:val="nil"/>
              <w:left w:val="nil"/>
              <w:bottom w:val="single" w:sz="8" w:space="0" w:color="auto"/>
              <w:right w:val="single" w:sz="4" w:space="0" w:color="auto"/>
            </w:tcBorders>
            <w:shd w:val="clear" w:color="auto" w:fill="auto"/>
          </w:tcPr>
          <w:p w14:paraId="0DA54D5F" w14:textId="77777777" w:rsidR="00CA353F" w:rsidRDefault="00CA353F">
            <w:pPr>
              <w:ind w:firstLine="60"/>
              <w:jc w:val="right"/>
            </w:pPr>
          </w:p>
        </w:tc>
        <w:tc>
          <w:tcPr>
            <w:tcW w:w="1280" w:type="dxa"/>
            <w:tcBorders>
              <w:top w:val="nil"/>
              <w:left w:val="nil"/>
              <w:bottom w:val="single" w:sz="8" w:space="0" w:color="auto"/>
              <w:right w:val="nil"/>
            </w:tcBorders>
            <w:shd w:val="clear" w:color="auto" w:fill="auto"/>
          </w:tcPr>
          <w:p w14:paraId="0DA54D60" w14:textId="77777777" w:rsidR="00CA353F" w:rsidRDefault="00CA353F">
            <w:pPr>
              <w:ind w:firstLine="60"/>
              <w:jc w:val="right"/>
            </w:pPr>
          </w:p>
        </w:tc>
        <w:tc>
          <w:tcPr>
            <w:tcW w:w="1320" w:type="dxa"/>
            <w:tcBorders>
              <w:top w:val="nil"/>
              <w:left w:val="single" w:sz="4" w:space="0" w:color="auto"/>
              <w:bottom w:val="single" w:sz="8" w:space="0" w:color="auto"/>
              <w:right w:val="single" w:sz="4" w:space="0" w:color="auto"/>
            </w:tcBorders>
            <w:shd w:val="clear" w:color="auto" w:fill="auto"/>
          </w:tcPr>
          <w:p w14:paraId="0DA54D61" w14:textId="77777777" w:rsidR="00CA353F" w:rsidRDefault="00CA353F">
            <w:pPr>
              <w:ind w:firstLine="60"/>
              <w:jc w:val="right"/>
            </w:pPr>
          </w:p>
        </w:tc>
        <w:tc>
          <w:tcPr>
            <w:tcW w:w="1320" w:type="dxa"/>
            <w:tcBorders>
              <w:top w:val="nil"/>
              <w:left w:val="nil"/>
              <w:bottom w:val="single" w:sz="8" w:space="0" w:color="auto"/>
              <w:right w:val="single" w:sz="8" w:space="0" w:color="auto"/>
            </w:tcBorders>
            <w:shd w:val="clear" w:color="auto" w:fill="auto"/>
          </w:tcPr>
          <w:p w14:paraId="0DA54D62" w14:textId="77777777" w:rsidR="00CA353F" w:rsidRDefault="00CA353F">
            <w:pPr>
              <w:ind w:firstLine="60"/>
              <w:jc w:val="right"/>
            </w:pPr>
          </w:p>
        </w:tc>
      </w:tr>
    </w:tbl>
    <w:p w14:paraId="0DA54D64" w14:textId="64BF1C76" w:rsidR="00CA353F" w:rsidRDefault="00CA353F"/>
    <w:p w14:paraId="0DA54D65" w14:textId="7218D608" w:rsidR="00CA353F" w:rsidRDefault="002C3F58">
      <w:pPr>
        <w:tabs>
          <w:tab w:val="left" w:pos="5315"/>
          <w:tab w:val="left" w:pos="6285"/>
          <w:tab w:val="left" w:pos="7485"/>
        </w:tabs>
        <w:ind w:firstLine="567"/>
        <w:jc w:val="both"/>
      </w:pPr>
      <w:r>
        <w:rPr>
          <w:b/>
          <w:bCs/>
        </w:rPr>
        <w:t>Pastabos:</w:t>
      </w:r>
    </w:p>
    <w:p w14:paraId="0DA54D66" w14:textId="7361A4C5" w:rsidR="00CA353F" w:rsidRDefault="002C3F58">
      <w:pPr>
        <w:ind w:firstLine="567"/>
        <w:jc w:val="both"/>
      </w:pPr>
      <w:r>
        <w:t>1. Duomenys pateikiami už praėjusio kainų reguliavimo periodo dvejus paskutinius metus ir planuojamą penkerių  metų laikotarpį.</w:t>
      </w:r>
    </w:p>
    <w:p w14:paraId="0DA54D67" w14:textId="458EB7FA" w:rsidR="00CA353F" w:rsidRDefault="002C3F58">
      <w:pPr>
        <w:tabs>
          <w:tab w:val="left" w:pos="5315"/>
          <w:tab w:val="left" w:pos="6285"/>
          <w:tab w:val="left" w:pos="7485"/>
        </w:tabs>
        <w:ind w:firstLine="567"/>
        <w:jc w:val="both"/>
      </w:pPr>
      <w:r>
        <w:t>2. Dujų įmonė savo nuožiūra gali papildyti lentelę įrašais, patikslinančiais rodiklių dydžius.</w:t>
      </w:r>
    </w:p>
    <w:p w14:paraId="0DA54D68" w14:textId="77777777" w:rsidR="00CA353F" w:rsidRDefault="00CA353F"/>
    <w:tbl>
      <w:tblPr>
        <w:tblW w:w="14740" w:type="dxa"/>
        <w:tblLook w:val="0000" w:firstRow="0" w:lastRow="0" w:firstColumn="0" w:lastColumn="0" w:noHBand="0" w:noVBand="0"/>
      </w:tblPr>
      <w:tblGrid>
        <w:gridCol w:w="8763"/>
        <w:gridCol w:w="2330"/>
        <w:gridCol w:w="3647"/>
      </w:tblGrid>
      <w:tr w:rsidR="00CA353F" w14:paraId="0DA54D6F" w14:textId="77777777">
        <w:trPr>
          <w:trHeight w:val="240"/>
        </w:trPr>
        <w:tc>
          <w:tcPr>
            <w:tcW w:w="6920" w:type="dxa"/>
            <w:tcBorders>
              <w:top w:val="nil"/>
              <w:left w:val="nil"/>
              <w:bottom w:val="nil"/>
              <w:right w:val="nil"/>
            </w:tcBorders>
            <w:shd w:val="clear" w:color="auto" w:fill="auto"/>
            <w:noWrap/>
            <w:vAlign w:val="bottom"/>
          </w:tcPr>
          <w:p w14:paraId="0DA54D69" w14:textId="77777777" w:rsidR="00CA353F" w:rsidRDefault="002C3F58">
            <w:pPr>
              <w:jc w:val="center"/>
            </w:pPr>
            <w:r>
              <w:t>_______________</w:t>
            </w:r>
          </w:p>
          <w:p w14:paraId="0DA54D6A" w14:textId="77777777" w:rsidR="00CA353F" w:rsidRDefault="002C3F58">
            <w:pPr>
              <w:jc w:val="center"/>
            </w:pPr>
            <w:r>
              <w:t>(pareigų pavadinimas)</w:t>
            </w:r>
          </w:p>
        </w:tc>
        <w:tc>
          <w:tcPr>
            <w:tcW w:w="1840" w:type="dxa"/>
            <w:tcBorders>
              <w:top w:val="nil"/>
              <w:left w:val="nil"/>
              <w:bottom w:val="nil"/>
              <w:right w:val="nil"/>
            </w:tcBorders>
            <w:shd w:val="clear" w:color="auto" w:fill="auto"/>
            <w:noWrap/>
            <w:vAlign w:val="bottom"/>
          </w:tcPr>
          <w:p w14:paraId="0DA54D6B" w14:textId="77777777" w:rsidR="00CA353F" w:rsidRDefault="002C3F58">
            <w:pPr>
              <w:jc w:val="center"/>
            </w:pPr>
            <w:r>
              <w:t>_________</w:t>
            </w:r>
          </w:p>
          <w:p w14:paraId="0DA54D6C" w14:textId="77777777" w:rsidR="00CA353F" w:rsidRDefault="002C3F58">
            <w:pPr>
              <w:jc w:val="center"/>
            </w:pPr>
            <w:r>
              <w:t>(parašas)</w:t>
            </w:r>
          </w:p>
        </w:tc>
        <w:tc>
          <w:tcPr>
            <w:tcW w:w="2880" w:type="dxa"/>
            <w:tcBorders>
              <w:top w:val="nil"/>
              <w:left w:val="nil"/>
              <w:bottom w:val="nil"/>
              <w:right w:val="nil"/>
            </w:tcBorders>
            <w:shd w:val="clear" w:color="auto" w:fill="auto"/>
            <w:noWrap/>
            <w:vAlign w:val="bottom"/>
          </w:tcPr>
          <w:p w14:paraId="0DA54D6D" w14:textId="77777777" w:rsidR="00CA353F" w:rsidRDefault="002C3F58">
            <w:pPr>
              <w:jc w:val="center"/>
            </w:pPr>
            <w:r>
              <w:t>_______________</w:t>
            </w:r>
          </w:p>
          <w:p w14:paraId="0DA54D6E" w14:textId="77777777" w:rsidR="00CA353F" w:rsidRDefault="002C3F58">
            <w:pPr>
              <w:jc w:val="center"/>
            </w:pPr>
            <w:r>
              <w:t>(vardas ir pavardė)</w:t>
            </w:r>
          </w:p>
        </w:tc>
      </w:tr>
    </w:tbl>
    <w:p w14:paraId="0DA54D70" w14:textId="420A4B05" w:rsidR="00CA353F" w:rsidRDefault="00CA353F">
      <w:pPr>
        <w:ind w:firstLine="567"/>
        <w:jc w:val="both"/>
      </w:pPr>
    </w:p>
    <w:p w14:paraId="0DA54D71" w14:textId="77777777" w:rsidR="00CA353F" w:rsidRDefault="002C3F58">
      <w:pPr>
        <w:jc w:val="center"/>
      </w:pPr>
      <w:r>
        <w:t>_________________</w:t>
      </w:r>
    </w:p>
    <w:p w14:paraId="0DA54D74" w14:textId="2DA8D755" w:rsidR="00CA353F" w:rsidRDefault="00B57BD2"/>
    <w:p w14:paraId="28BBD4C0" w14:textId="77777777" w:rsidR="002C3F58" w:rsidRDefault="002C3F58">
      <w:pPr>
        <w:tabs>
          <w:tab w:val="left" w:pos="868"/>
          <w:tab w:val="left" w:pos="7788"/>
          <w:tab w:val="left" w:pos="8748"/>
          <w:tab w:val="left" w:pos="9708"/>
          <w:tab w:val="left" w:pos="10668"/>
          <w:tab w:val="left" w:pos="11628"/>
          <w:tab w:val="left" w:pos="12588"/>
          <w:tab w:val="left" w:pos="13468"/>
          <w:tab w:val="left" w:pos="14428"/>
          <w:tab w:val="left" w:pos="15388"/>
          <w:tab w:val="left" w:pos="16348"/>
          <w:tab w:val="left" w:pos="17308"/>
          <w:tab w:val="left" w:pos="18268"/>
          <w:tab w:val="left" w:pos="19228"/>
        </w:tabs>
        <w:ind w:left="9120"/>
      </w:pPr>
    </w:p>
    <w:p w14:paraId="77F99F1F" w14:textId="77777777" w:rsidR="002C3F58" w:rsidRDefault="002C3F58">
      <w:r>
        <w:br w:type="page"/>
      </w:r>
    </w:p>
    <w:p w14:paraId="0DA54D75" w14:textId="48DD9713" w:rsidR="00CA353F" w:rsidRDefault="002C3F58">
      <w:pPr>
        <w:tabs>
          <w:tab w:val="left" w:pos="868"/>
          <w:tab w:val="left" w:pos="7788"/>
          <w:tab w:val="left" w:pos="8748"/>
          <w:tab w:val="left" w:pos="9708"/>
          <w:tab w:val="left" w:pos="10668"/>
          <w:tab w:val="left" w:pos="11628"/>
          <w:tab w:val="left" w:pos="12588"/>
          <w:tab w:val="left" w:pos="13468"/>
          <w:tab w:val="left" w:pos="14428"/>
          <w:tab w:val="left" w:pos="15388"/>
          <w:tab w:val="left" w:pos="16348"/>
          <w:tab w:val="left" w:pos="17308"/>
          <w:tab w:val="left" w:pos="18268"/>
          <w:tab w:val="left" w:pos="19228"/>
        </w:tabs>
        <w:ind w:left="9120"/>
      </w:pPr>
      <w:r>
        <w:lastRenderedPageBreak/>
        <w:t>Gamtinių dujų tiekimo kainų</w:t>
      </w:r>
    </w:p>
    <w:p w14:paraId="0DA54D76" w14:textId="77777777" w:rsidR="00CA353F" w:rsidRDefault="002C3F58">
      <w:pPr>
        <w:tabs>
          <w:tab w:val="left" w:pos="868"/>
          <w:tab w:val="left" w:pos="7788"/>
          <w:tab w:val="left" w:pos="8748"/>
          <w:tab w:val="left" w:pos="9708"/>
          <w:tab w:val="left" w:pos="10668"/>
          <w:tab w:val="left" w:pos="11628"/>
          <w:tab w:val="left" w:pos="12588"/>
          <w:tab w:val="left" w:pos="13468"/>
          <w:tab w:val="left" w:pos="14428"/>
          <w:tab w:val="left" w:pos="15388"/>
          <w:tab w:val="left" w:pos="16348"/>
          <w:tab w:val="left" w:pos="17308"/>
          <w:tab w:val="left" w:pos="18268"/>
          <w:tab w:val="left" w:pos="19228"/>
        </w:tabs>
        <w:ind w:left="9120"/>
      </w:pPr>
      <w:r>
        <w:t xml:space="preserve">viršutinių ribų skaičiavimo metodikos </w:t>
      </w:r>
    </w:p>
    <w:p w14:paraId="0DA54D77" w14:textId="77777777" w:rsidR="00CA353F" w:rsidRDefault="00B57BD2">
      <w:pPr>
        <w:tabs>
          <w:tab w:val="left" w:pos="868"/>
          <w:tab w:val="left" w:pos="7788"/>
          <w:tab w:val="left" w:pos="8748"/>
          <w:tab w:val="left" w:pos="9708"/>
          <w:tab w:val="left" w:pos="10668"/>
          <w:tab w:val="left" w:pos="11628"/>
          <w:tab w:val="left" w:pos="12588"/>
          <w:tab w:val="left" w:pos="13468"/>
          <w:tab w:val="left" w:pos="14428"/>
          <w:tab w:val="left" w:pos="15388"/>
          <w:tab w:val="left" w:pos="16348"/>
          <w:tab w:val="left" w:pos="17308"/>
          <w:tab w:val="left" w:pos="18268"/>
          <w:tab w:val="left" w:pos="19228"/>
          <w:tab w:val="left" w:pos="22539"/>
          <w:tab w:val="left" w:pos="22815"/>
          <w:tab w:val="left" w:pos="23091"/>
        </w:tabs>
        <w:ind w:left="9120"/>
      </w:pPr>
      <w:r w:rsidR="002C3F58">
        <w:t>2</w:t>
      </w:r>
      <w:r w:rsidR="002C3F58">
        <w:t xml:space="preserve"> priedas</w:t>
      </w:r>
    </w:p>
    <w:p w14:paraId="0DA54D78" w14:textId="77777777" w:rsidR="00CA353F" w:rsidRDefault="00CA353F">
      <w:pPr>
        <w:tabs>
          <w:tab w:val="left" w:pos="868"/>
          <w:tab w:val="left" w:pos="7788"/>
          <w:tab w:val="left" w:pos="8748"/>
          <w:tab w:val="left" w:pos="9708"/>
          <w:tab w:val="left" w:pos="10668"/>
          <w:tab w:val="left" w:pos="11628"/>
          <w:tab w:val="left" w:pos="12588"/>
          <w:tab w:val="left" w:pos="13468"/>
          <w:tab w:val="left" w:pos="14428"/>
          <w:tab w:val="left" w:pos="15388"/>
          <w:tab w:val="left" w:pos="16348"/>
          <w:tab w:val="left" w:pos="17308"/>
          <w:tab w:val="left" w:pos="18268"/>
          <w:tab w:val="left" w:pos="19228"/>
          <w:tab w:val="left" w:pos="22539"/>
          <w:tab w:val="left" w:pos="22815"/>
          <w:tab w:val="left" w:pos="23091"/>
        </w:tabs>
        <w:jc w:val="center"/>
      </w:pPr>
    </w:p>
    <w:p w14:paraId="0DA54D79" w14:textId="77777777" w:rsidR="00CA353F" w:rsidRDefault="00B57BD2">
      <w:pPr>
        <w:jc w:val="center"/>
        <w:rPr>
          <w:b/>
          <w:bCs/>
        </w:rPr>
      </w:pPr>
      <w:r w:rsidR="002C3F58">
        <w:rPr>
          <w:b/>
          <w:bCs/>
        </w:rPr>
        <w:t>(Dujų įmonės ilgalaikės tiekimo veiklos programos lentelės forma)</w:t>
      </w:r>
    </w:p>
    <w:p w14:paraId="0DA54D7A" w14:textId="77777777" w:rsidR="00CA353F" w:rsidRDefault="002C3F58">
      <w:pPr>
        <w:tabs>
          <w:tab w:val="left" w:pos="868"/>
          <w:tab w:val="left" w:pos="7788"/>
          <w:tab w:val="left" w:pos="8748"/>
          <w:tab w:val="left" w:pos="9708"/>
          <w:tab w:val="left" w:pos="12588"/>
          <w:tab w:val="left" w:pos="13468"/>
          <w:tab w:val="left" w:pos="14428"/>
          <w:tab w:val="left" w:pos="15388"/>
          <w:tab w:val="left" w:pos="16348"/>
          <w:tab w:val="left" w:pos="17308"/>
          <w:tab w:val="left" w:pos="18268"/>
          <w:tab w:val="left" w:pos="19228"/>
          <w:tab w:val="left" w:pos="22539"/>
          <w:tab w:val="left" w:pos="22815"/>
          <w:tab w:val="left" w:pos="23091"/>
        </w:tabs>
        <w:jc w:val="center"/>
      </w:pPr>
      <w:r>
        <w:t>_______________________________</w:t>
      </w:r>
    </w:p>
    <w:p w14:paraId="0DA54D7B" w14:textId="77777777" w:rsidR="00CA353F" w:rsidRDefault="002C3F58">
      <w:pPr>
        <w:tabs>
          <w:tab w:val="left" w:pos="868"/>
          <w:tab w:val="left" w:pos="7788"/>
          <w:tab w:val="left" w:pos="8748"/>
          <w:tab w:val="left" w:pos="9708"/>
          <w:tab w:val="left" w:pos="12588"/>
          <w:tab w:val="left" w:pos="13468"/>
          <w:tab w:val="left" w:pos="14428"/>
          <w:tab w:val="left" w:pos="15388"/>
          <w:tab w:val="left" w:pos="16348"/>
          <w:tab w:val="left" w:pos="17308"/>
          <w:tab w:val="left" w:pos="18268"/>
          <w:tab w:val="left" w:pos="19228"/>
          <w:tab w:val="left" w:pos="22539"/>
          <w:tab w:val="left" w:pos="22815"/>
          <w:tab w:val="left" w:pos="23091"/>
        </w:tabs>
        <w:jc w:val="center"/>
      </w:pPr>
      <w:r>
        <w:t>(įmonės pavadinimas)</w:t>
      </w:r>
    </w:p>
    <w:p w14:paraId="0DA54D7C" w14:textId="77777777" w:rsidR="00CA353F" w:rsidRDefault="002C3F58">
      <w:pPr>
        <w:tabs>
          <w:tab w:val="left" w:pos="868"/>
          <w:tab w:val="left" w:pos="7788"/>
          <w:tab w:val="left" w:pos="8748"/>
          <w:tab w:val="left" w:pos="9708"/>
          <w:tab w:val="left" w:pos="12588"/>
          <w:tab w:val="left" w:pos="13468"/>
          <w:tab w:val="left" w:pos="14428"/>
          <w:tab w:val="left" w:pos="15388"/>
          <w:tab w:val="left" w:pos="16348"/>
          <w:tab w:val="left" w:pos="17308"/>
          <w:tab w:val="left" w:pos="18268"/>
          <w:tab w:val="left" w:pos="19228"/>
          <w:tab w:val="left" w:pos="22539"/>
          <w:tab w:val="left" w:pos="22815"/>
          <w:tab w:val="left" w:pos="23091"/>
        </w:tabs>
        <w:jc w:val="center"/>
      </w:pPr>
      <w:r>
        <w:t>_____________________________________</w:t>
      </w:r>
    </w:p>
    <w:p w14:paraId="0DA54D7D" w14:textId="77777777" w:rsidR="00CA353F" w:rsidRDefault="002C3F58">
      <w:pPr>
        <w:jc w:val="center"/>
      </w:pPr>
      <w:r>
        <w:t>(įmonės teisinė forma, buveinės adresas, telefonas, faksas, el. paštas, registro, kuriame kaupiami ir saugomi duomenys, pavadinimas, įmonės kodas, PVM mokėtojo kodas)</w:t>
      </w:r>
    </w:p>
    <w:p w14:paraId="0DA54D7E" w14:textId="77777777" w:rsidR="00CA353F" w:rsidRDefault="00CA353F">
      <w:pPr>
        <w:jc w:val="center"/>
      </w:pPr>
    </w:p>
    <w:p w14:paraId="0DA54D7F" w14:textId="6CC0F636" w:rsidR="00CA353F" w:rsidRDefault="002C3F58">
      <w:pPr>
        <w:jc w:val="center"/>
        <w:rPr>
          <w:b/>
          <w:bCs/>
        </w:rPr>
      </w:pPr>
      <w:r>
        <w:rPr>
          <w:b/>
          <w:bCs/>
        </w:rPr>
        <w:t>DUJŲ ĮMONĖS ILGALAIKĖ TIEKIMO VEIKLOS PROGRAMOS LENTELĖ</w:t>
      </w:r>
    </w:p>
    <w:p w14:paraId="0DA54D80" w14:textId="77777777" w:rsidR="00CA353F" w:rsidRDefault="00CA353F">
      <w:pPr>
        <w:jc w:val="center"/>
      </w:pPr>
    </w:p>
    <w:p w14:paraId="0DA54D81" w14:textId="75666064" w:rsidR="00CA353F" w:rsidRDefault="002C3F58">
      <w:pPr>
        <w:jc w:val="center"/>
      </w:pPr>
      <w:r>
        <w:t>20..... m. ............................. d. Nr.</w:t>
      </w:r>
    </w:p>
    <w:p w14:paraId="0DA54D82" w14:textId="77777777" w:rsidR="00CA353F" w:rsidRDefault="002C3F58">
      <w:pPr>
        <w:tabs>
          <w:tab w:val="left" w:pos="868"/>
          <w:tab w:val="left" w:pos="7788"/>
          <w:tab w:val="left" w:pos="8748"/>
          <w:tab w:val="left" w:pos="9708"/>
          <w:tab w:val="left" w:pos="10668"/>
          <w:tab w:val="left" w:pos="11628"/>
          <w:tab w:val="left" w:pos="13468"/>
          <w:tab w:val="left" w:pos="14428"/>
          <w:tab w:val="left" w:pos="15388"/>
          <w:tab w:val="left" w:pos="16348"/>
          <w:tab w:val="left" w:pos="17308"/>
          <w:tab w:val="left" w:pos="18268"/>
          <w:tab w:val="left" w:pos="19228"/>
          <w:tab w:val="left" w:pos="22539"/>
          <w:tab w:val="left" w:pos="22815"/>
          <w:tab w:val="left" w:pos="23091"/>
        </w:tabs>
        <w:jc w:val="center"/>
      </w:pPr>
      <w:r>
        <w:t>___________________</w:t>
      </w:r>
    </w:p>
    <w:p w14:paraId="0DA54D83" w14:textId="77777777" w:rsidR="00CA353F" w:rsidRDefault="002C3F58">
      <w:pPr>
        <w:tabs>
          <w:tab w:val="left" w:pos="868"/>
          <w:tab w:val="left" w:pos="7788"/>
          <w:tab w:val="left" w:pos="8748"/>
          <w:tab w:val="left" w:pos="9708"/>
          <w:tab w:val="left" w:pos="10668"/>
          <w:tab w:val="left" w:pos="11628"/>
          <w:tab w:val="left" w:pos="13468"/>
          <w:tab w:val="left" w:pos="14428"/>
          <w:tab w:val="left" w:pos="15388"/>
          <w:tab w:val="left" w:pos="16348"/>
          <w:tab w:val="left" w:pos="17308"/>
          <w:tab w:val="left" w:pos="18268"/>
          <w:tab w:val="left" w:pos="19228"/>
          <w:tab w:val="left" w:pos="22539"/>
          <w:tab w:val="left" w:pos="22815"/>
          <w:tab w:val="left" w:pos="23091"/>
        </w:tabs>
        <w:jc w:val="center"/>
      </w:pPr>
      <w:r>
        <w:t>(sudarymo vieta)</w:t>
      </w:r>
    </w:p>
    <w:p w14:paraId="0DA54D84" w14:textId="77777777" w:rsidR="00CA353F" w:rsidRDefault="00CA353F">
      <w:pPr>
        <w:ind w:firstLine="567"/>
        <w:jc w:val="both"/>
      </w:pPr>
    </w:p>
    <w:p w14:paraId="0DA54D85" w14:textId="77777777" w:rsidR="00CA353F" w:rsidRDefault="002C3F58">
      <w:pPr>
        <w:ind w:firstLine="567"/>
        <w:jc w:val="both"/>
      </w:pPr>
      <w:r>
        <w:t>tūkst. Lt</w:t>
      </w:r>
    </w:p>
    <w:tbl>
      <w:tblPr>
        <w:tblW w:w="14740" w:type="dxa"/>
        <w:tblLook w:val="0000" w:firstRow="0" w:lastRow="0" w:firstColumn="0" w:lastColumn="0" w:noHBand="0" w:noVBand="0"/>
      </w:tblPr>
      <w:tblGrid>
        <w:gridCol w:w="1263"/>
        <w:gridCol w:w="6992"/>
        <w:gridCol w:w="1012"/>
        <w:gridCol w:w="1012"/>
        <w:gridCol w:w="1013"/>
        <w:gridCol w:w="862"/>
        <w:gridCol w:w="862"/>
        <w:gridCol w:w="862"/>
        <w:gridCol w:w="862"/>
      </w:tblGrid>
      <w:tr w:rsidR="00CA353F" w14:paraId="0DA54D89" w14:textId="77777777">
        <w:trPr>
          <w:trHeight w:val="530"/>
          <w:tblHeader/>
        </w:trPr>
        <w:tc>
          <w:tcPr>
            <w:tcW w:w="1263" w:type="dxa"/>
            <w:vMerge w:val="restart"/>
            <w:tcBorders>
              <w:top w:val="single" w:sz="8" w:space="0" w:color="auto"/>
              <w:left w:val="single" w:sz="8" w:space="0" w:color="auto"/>
              <w:bottom w:val="nil"/>
              <w:right w:val="nil"/>
            </w:tcBorders>
            <w:shd w:val="clear" w:color="auto" w:fill="auto"/>
            <w:noWrap/>
            <w:vAlign w:val="center"/>
          </w:tcPr>
          <w:p w14:paraId="0DA54D86" w14:textId="77777777" w:rsidR="00CA353F" w:rsidRDefault="002C3F58">
            <w:pPr>
              <w:jc w:val="center"/>
            </w:pPr>
            <w:r>
              <w:t>Eil. Nr.</w:t>
            </w:r>
          </w:p>
        </w:tc>
        <w:tc>
          <w:tcPr>
            <w:tcW w:w="6992" w:type="dxa"/>
            <w:vMerge w:val="restart"/>
            <w:tcBorders>
              <w:top w:val="single" w:sz="8" w:space="0" w:color="auto"/>
              <w:left w:val="single" w:sz="4" w:space="0" w:color="auto"/>
              <w:bottom w:val="nil"/>
              <w:right w:val="single" w:sz="8" w:space="0" w:color="auto"/>
            </w:tcBorders>
            <w:shd w:val="clear" w:color="auto" w:fill="auto"/>
            <w:noWrap/>
            <w:vAlign w:val="center"/>
          </w:tcPr>
          <w:p w14:paraId="0DA54D87" w14:textId="77777777" w:rsidR="00CA353F" w:rsidRDefault="002C3F58">
            <w:pPr>
              <w:jc w:val="center"/>
            </w:pPr>
            <w:r>
              <w:t>Pavadinimas</w:t>
            </w:r>
          </w:p>
        </w:tc>
        <w:tc>
          <w:tcPr>
            <w:tcW w:w="6485"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tcPr>
          <w:p w14:paraId="0DA54D88" w14:textId="77777777" w:rsidR="00CA353F" w:rsidRDefault="002C3F58">
            <w:pPr>
              <w:jc w:val="center"/>
            </w:pPr>
            <w:r>
              <w:t>Tiekimas</w:t>
            </w:r>
          </w:p>
        </w:tc>
      </w:tr>
      <w:tr w:rsidR="00CA353F" w14:paraId="0DA54D93" w14:textId="77777777">
        <w:trPr>
          <w:trHeight w:val="315"/>
          <w:tblHeader/>
        </w:trPr>
        <w:tc>
          <w:tcPr>
            <w:tcW w:w="1263" w:type="dxa"/>
            <w:vMerge/>
            <w:tcBorders>
              <w:left w:val="single" w:sz="8" w:space="0" w:color="auto"/>
              <w:bottom w:val="single" w:sz="8" w:space="0" w:color="auto"/>
              <w:right w:val="nil"/>
            </w:tcBorders>
            <w:shd w:val="clear" w:color="auto" w:fill="auto"/>
            <w:noWrap/>
            <w:vAlign w:val="center"/>
          </w:tcPr>
          <w:p w14:paraId="0DA54D8A" w14:textId="77777777" w:rsidR="00CA353F" w:rsidRDefault="00CA353F">
            <w:pPr>
              <w:jc w:val="center"/>
            </w:pPr>
          </w:p>
        </w:tc>
        <w:tc>
          <w:tcPr>
            <w:tcW w:w="6992" w:type="dxa"/>
            <w:vMerge/>
            <w:tcBorders>
              <w:left w:val="single" w:sz="4" w:space="0" w:color="auto"/>
              <w:bottom w:val="single" w:sz="8" w:space="0" w:color="auto"/>
              <w:right w:val="single" w:sz="4" w:space="0" w:color="auto"/>
            </w:tcBorders>
            <w:shd w:val="clear" w:color="auto" w:fill="auto"/>
            <w:noWrap/>
            <w:vAlign w:val="center"/>
          </w:tcPr>
          <w:p w14:paraId="0DA54D8B" w14:textId="77777777" w:rsidR="00CA353F" w:rsidRDefault="00CA353F"/>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54D8C" w14:textId="77777777" w:rsidR="00CA353F" w:rsidRDefault="002C3F58">
            <w:pPr>
              <w:jc w:val="center"/>
            </w:pPr>
            <w:r>
              <w:t>20__</w:t>
            </w:r>
          </w:p>
        </w:tc>
        <w:tc>
          <w:tcPr>
            <w:tcW w:w="101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A54D8D" w14:textId="77777777" w:rsidR="00CA353F" w:rsidRDefault="002C3F58">
            <w:pPr>
              <w:jc w:val="center"/>
            </w:pPr>
            <w:r>
              <w:t>20__</w:t>
            </w:r>
          </w:p>
        </w:tc>
        <w:tc>
          <w:tcPr>
            <w:tcW w:w="101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A54D8E" w14:textId="77777777" w:rsidR="00CA353F" w:rsidRDefault="002C3F58">
            <w:pPr>
              <w:jc w:val="center"/>
            </w:pPr>
            <w:r>
              <w:t>20__</w:t>
            </w:r>
          </w:p>
        </w:tc>
        <w:tc>
          <w:tcPr>
            <w:tcW w:w="86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A54D8F" w14:textId="77777777" w:rsidR="00CA353F" w:rsidRDefault="002C3F58">
            <w:pPr>
              <w:jc w:val="center"/>
            </w:pPr>
            <w:r>
              <w:t>20__</w:t>
            </w:r>
          </w:p>
        </w:tc>
        <w:tc>
          <w:tcPr>
            <w:tcW w:w="86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A54D90" w14:textId="77777777" w:rsidR="00CA353F" w:rsidRDefault="002C3F58">
            <w:pPr>
              <w:jc w:val="center"/>
            </w:pPr>
            <w:r>
              <w:t>20__</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DA54D91" w14:textId="77777777" w:rsidR="00CA353F" w:rsidRDefault="002C3F58">
            <w:pPr>
              <w:jc w:val="center"/>
            </w:pPr>
            <w:r>
              <w:t>20__</w:t>
            </w:r>
          </w:p>
        </w:tc>
        <w:tc>
          <w:tcPr>
            <w:tcW w:w="86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A54D92" w14:textId="77777777" w:rsidR="00CA353F" w:rsidRDefault="002C3F58">
            <w:pPr>
              <w:jc w:val="center"/>
            </w:pPr>
            <w:r>
              <w:t>20__</w:t>
            </w:r>
          </w:p>
        </w:tc>
      </w:tr>
      <w:tr w:rsidR="00CA353F" w14:paraId="0DA54D9D" w14:textId="77777777">
        <w:trPr>
          <w:trHeight w:val="255"/>
          <w:tblHeader/>
        </w:trPr>
        <w:tc>
          <w:tcPr>
            <w:tcW w:w="1263" w:type="dxa"/>
            <w:tcBorders>
              <w:top w:val="nil"/>
              <w:left w:val="single" w:sz="8" w:space="0" w:color="auto"/>
              <w:bottom w:val="single" w:sz="8" w:space="0" w:color="auto"/>
              <w:right w:val="single" w:sz="4" w:space="0" w:color="auto"/>
            </w:tcBorders>
            <w:shd w:val="clear" w:color="auto" w:fill="auto"/>
            <w:noWrap/>
            <w:vAlign w:val="center"/>
          </w:tcPr>
          <w:p w14:paraId="0DA54D94" w14:textId="77777777" w:rsidR="00CA353F" w:rsidRDefault="002C3F58">
            <w:pPr>
              <w:jc w:val="center"/>
            </w:pPr>
            <w:r>
              <w:t>1</w:t>
            </w:r>
          </w:p>
        </w:tc>
        <w:tc>
          <w:tcPr>
            <w:tcW w:w="6992" w:type="dxa"/>
            <w:tcBorders>
              <w:top w:val="nil"/>
              <w:left w:val="nil"/>
              <w:bottom w:val="single" w:sz="8" w:space="0" w:color="auto"/>
              <w:right w:val="single" w:sz="8" w:space="0" w:color="auto"/>
            </w:tcBorders>
            <w:shd w:val="clear" w:color="auto" w:fill="auto"/>
            <w:noWrap/>
            <w:vAlign w:val="center"/>
          </w:tcPr>
          <w:p w14:paraId="0DA54D95" w14:textId="77777777" w:rsidR="00CA353F" w:rsidRDefault="002C3F58">
            <w:pPr>
              <w:jc w:val="center"/>
            </w:pPr>
            <w:r>
              <w:t>2</w:t>
            </w:r>
          </w:p>
        </w:tc>
        <w:tc>
          <w:tcPr>
            <w:tcW w:w="1012" w:type="dxa"/>
            <w:tcBorders>
              <w:top w:val="single" w:sz="4" w:space="0" w:color="auto"/>
              <w:left w:val="nil"/>
              <w:bottom w:val="single" w:sz="8" w:space="0" w:color="auto"/>
              <w:right w:val="single" w:sz="4" w:space="0" w:color="auto"/>
            </w:tcBorders>
            <w:shd w:val="clear" w:color="auto" w:fill="auto"/>
            <w:noWrap/>
            <w:vAlign w:val="center"/>
          </w:tcPr>
          <w:p w14:paraId="0DA54D96" w14:textId="77777777" w:rsidR="00CA353F" w:rsidRDefault="002C3F58">
            <w:pPr>
              <w:jc w:val="center"/>
            </w:pPr>
            <w:r>
              <w:t>3</w:t>
            </w:r>
          </w:p>
        </w:tc>
        <w:tc>
          <w:tcPr>
            <w:tcW w:w="1012" w:type="dxa"/>
            <w:tcBorders>
              <w:top w:val="single" w:sz="4" w:space="0" w:color="auto"/>
              <w:left w:val="nil"/>
              <w:bottom w:val="single" w:sz="8" w:space="0" w:color="auto"/>
              <w:right w:val="single" w:sz="4" w:space="0" w:color="auto"/>
            </w:tcBorders>
            <w:shd w:val="clear" w:color="auto" w:fill="auto"/>
            <w:noWrap/>
            <w:vAlign w:val="center"/>
          </w:tcPr>
          <w:p w14:paraId="0DA54D97" w14:textId="77777777" w:rsidR="00CA353F" w:rsidRDefault="002C3F58">
            <w:pPr>
              <w:jc w:val="center"/>
            </w:pPr>
            <w:r>
              <w:t>4</w:t>
            </w:r>
          </w:p>
        </w:tc>
        <w:tc>
          <w:tcPr>
            <w:tcW w:w="1013" w:type="dxa"/>
            <w:tcBorders>
              <w:top w:val="single" w:sz="4" w:space="0" w:color="auto"/>
              <w:left w:val="nil"/>
              <w:bottom w:val="single" w:sz="8" w:space="0" w:color="auto"/>
              <w:right w:val="single" w:sz="4" w:space="0" w:color="auto"/>
            </w:tcBorders>
            <w:shd w:val="clear" w:color="auto" w:fill="auto"/>
            <w:noWrap/>
            <w:vAlign w:val="center"/>
          </w:tcPr>
          <w:p w14:paraId="0DA54D98" w14:textId="77777777" w:rsidR="00CA353F" w:rsidRDefault="002C3F58">
            <w:pPr>
              <w:jc w:val="center"/>
            </w:pPr>
            <w:r>
              <w:t>5</w:t>
            </w:r>
          </w:p>
        </w:tc>
        <w:tc>
          <w:tcPr>
            <w:tcW w:w="862" w:type="dxa"/>
            <w:tcBorders>
              <w:top w:val="single" w:sz="4" w:space="0" w:color="auto"/>
              <w:left w:val="nil"/>
              <w:bottom w:val="single" w:sz="8" w:space="0" w:color="auto"/>
              <w:right w:val="single" w:sz="4" w:space="0" w:color="auto"/>
            </w:tcBorders>
            <w:shd w:val="clear" w:color="auto" w:fill="auto"/>
            <w:noWrap/>
            <w:vAlign w:val="center"/>
          </w:tcPr>
          <w:p w14:paraId="0DA54D99" w14:textId="77777777" w:rsidR="00CA353F" w:rsidRDefault="002C3F58">
            <w:pPr>
              <w:jc w:val="center"/>
            </w:pPr>
            <w:r>
              <w:t>6</w:t>
            </w:r>
          </w:p>
        </w:tc>
        <w:tc>
          <w:tcPr>
            <w:tcW w:w="862" w:type="dxa"/>
            <w:tcBorders>
              <w:top w:val="single" w:sz="4" w:space="0" w:color="auto"/>
              <w:left w:val="nil"/>
              <w:bottom w:val="single" w:sz="8" w:space="0" w:color="auto"/>
              <w:right w:val="single" w:sz="4" w:space="0" w:color="auto"/>
            </w:tcBorders>
            <w:shd w:val="clear" w:color="auto" w:fill="auto"/>
            <w:noWrap/>
            <w:vAlign w:val="center"/>
          </w:tcPr>
          <w:p w14:paraId="0DA54D9A" w14:textId="77777777" w:rsidR="00CA353F" w:rsidRDefault="002C3F58">
            <w:pPr>
              <w:jc w:val="center"/>
            </w:pPr>
            <w:r>
              <w:t>7</w:t>
            </w:r>
          </w:p>
        </w:tc>
        <w:tc>
          <w:tcPr>
            <w:tcW w:w="862" w:type="dxa"/>
            <w:tcBorders>
              <w:top w:val="single" w:sz="4" w:space="0" w:color="auto"/>
              <w:left w:val="nil"/>
              <w:bottom w:val="single" w:sz="8" w:space="0" w:color="auto"/>
              <w:right w:val="single" w:sz="4" w:space="0" w:color="auto"/>
            </w:tcBorders>
            <w:shd w:val="clear" w:color="auto" w:fill="auto"/>
            <w:noWrap/>
            <w:vAlign w:val="center"/>
          </w:tcPr>
          <w:p w14:paraId="0DA54D9B" w14:textId="77777777" w:rsidR="00CA353F" w:rsidRDefault="002C3F58">
            <w:pPr>
              <w:jc w:val="center"/>
            </w:pPr>
            <w:r>
              <w:t>8</w:t>
            </w:r>
          </w:p>
        </w:tc>
        <w:tc>
          <w:tcPr>
            <w:tcW w:w="862" w:type="dxa"/>
            <w:tcBorders>
              <w:top w:val="single" w:sz="4" w:space="0" w:color="auto"/>
              <w:left w:val="nil"/>
              <w:bottom w:val="single" w:sz="8" w:space="0" w:color="auto"/>
              <w:right w:val="single" w:sz="8" w:space="0" w:color="auto"/>
            </w:tcBorders>
            <w:shd w:val="clear" w:color="auto" w:fill="auto"/>
            <w:noWrap/>
            <w:vAlign w:val="center"/>
          </w:tcPr>
          <w:p w14:paraId="0DA54D9C" w14:textId="77777777" w:rsidR="00CA353F" w:rsidRDefault="002C3F58">
            <w:pPr>
              <w:jc w:val="center"/>
            </w:pPr>
            <w:r>
              <w:t>9</w:t>
            </w:r>
          </w:p>
        </w:tc>
      </w:tr>
      <w:tr w:rsidR="00CA353F" w14:paraId="0DA54DA7"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D9E" w14:textId="77777777" w:rsidR="00CA353F" w:rsidRDefault="002C3F58">
            <w:pPr>
              <w:jc w:val="center"/>
            </w:pPr>
            <w:r>
              <w:t>1.</w:t>
            </w:r>
          </w:p>
        </w:tc>
        <w:tc>
          <w:tcPr>
            <w:tcW w:w="6992" w:type="dxa"/>
            <w:tcBorders>
              <w:top w:val="nil"/>
              <w:left w:val="nil"/>
              <w:bottom w:val="single" w:sz="4" w:space="0" w:color="auto"/>
              <w:right w:val="single" w:sz="8" w:space="0" w:color="auto"/>
            </w:tcBorders>
            <w:shd w:val="clear" w:color="auto" w:fill="auto"/>
            <w:noWrap/>
            <w:vAlign w:val="center"/>
          </w:tcPr>
          <w:p w14:paraId="0DA54D9F" w14:textId="77777777" w:rsidR="00CA353F" w:rsidRDefault="002C3F58">
            <w:pPr>
              <w:jc w:val="center"/>
            </w:pPr>
            <w:r>
              <w:t>FINANSAVIMO ŠALTINIAI</w:t>
            </w:r>
          </w:p>
        </w:tc>
        <w:tc>
          <w:tcPr>
            <w:tcW w:w="1012" w:type="dxa"/>
            <w:tcBorders>
              <w:top w:val="nil"/>
              <w:left w:val="nil"/>
              <w:bottom w:val="single" w:sz="4" w:space="0" w:color="auto"/>
              <w:right w:val="single" w:sz="4" w:space="0" w:color="auto"/>
            </w:tcBorders>
            <w:shd w:val="clear" w:color="auto" w:fill="auto"/>
            <w:noWrap/>
            <w:vAlign w:val="center"/>
          </w:tcPr>
          <w:p w14:paraId="0DA54DA0" w14:textId="77777777" w:rsidR="00CA353F" w:rsidRDefault="00CA353F">
            <w:pPr>
              <w:ind w:firstLine="60"/>
              <w:jc w:val="center"/>
            </w:pPr>
          </w:p>
        </w:tc>
        <w:tc>
          <w:tcPr>
            <w:tcW w:w="1012" w:type="dxa"/>
            <w:tcBorders>
              <w:top w:val="nil"/>
              <w:left w:val="nil"/>
              <w:bottom w:val="single" w:sz="4" w:space="0" w:color="auto"/>
              <w:right w:val="single" w:sz="4" w:space="0" w:color="auto"/>
            </w:tcBorders>
            <w:shd w:val="clear" w:color="auto" w:fill="auto"/>
            <w:noWrap/>
            <w:vAlign w:val="center"/>
          </w:tcPr>
          <w:p w14:paraId="0DA54DA1" w14:textId="77777777" w:rsidR="00CA353F" w:rsidRDefault="00CA353F">
            <w:pPr>
              <w:ind w:firstLine="60"/>
              <w:jc w:val="center"/>
            </w:pPr>
          </w:p>
        </w:tc>
        <w:tc>
          <w:tcPr>
            <w:tcW w:w="1013" w:type="dxa"/>
            <w:tcBorders>
              <w:top w:val="nil"/>
              <w:left w:val="nil"/>
              <w:bottom w:val="single" w:sz="4" w:space="0" w:color="auto"/>
              <w:right w:val="single" w:sz="4" w:space="0" w:color="auto"/>
            </w:tcBorders>
            <w:shd w:val="clear" w:color="auto" w:fill="auto"/>
            <w:noWrap/>
            <w:vAlign w:val="center"/>
          </w:tcPr>
          <w:p w14:paraId="0DA54DA2"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A3"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A4"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A5" w14:textId="77777777" w:rsidR="00CA353F" w:rsidRDefault="00CA353F">
            <w:pPr>
              <w:ind w:firstLine="60"/>
              <w:jc w:val="center"/>
            </w:pPr>
          </w:p>
        </w:tc>
        <w:tc>
          <w:tcPr>
            <w:tcW w:w="862" w:type="dxa"/>
            <w:tcBorders>
              <w:top w:val="nil"/>
              <w:left w:val="nil"/>
              <w:bottom w:val="single" w:sz="4" w:space="0" w:color="auto"/>
              <w:right w:val="single" w:sz="8" w:space="0" w:color="auto"/>
            </w:tcBorders>
            <w:shd w:val="clear" w:color="auto" w:fill="auto"/>
            <w:noWrap/>
            <w:vAlign w:val="center"/>
          </w:tcPr>
          <w:p w14:paraId="0DA54DA6" w14:textId="77777777" w:rsidR="00CA353F" w:rsidRDefault="00CA353F">
            <w:pPr>
              <w:ind w:firstLine="60"/>
              <w:jc w:val="center"/>
            </w:pPr>
          </w:p>
        </w:tc>
      </w:tr>
      <w:tr w:rsidR="00CA353F" w14:paraId="0DA54DB1"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DA8" w14:textId="77777777" w:rsidR="00CA353F" w:rsidRDefault="002C3F58">
            <w:pPr>
              <w:jc w:val="center"/>
            </w:pPr>
            <w:r>
              <w:t>1.1.</w:t>
            </w:r>
          </w:p>
        </w:tc>
        <w:tc>
          <w:tcPr>
            <w:tcW w:w="6992" w:type="dxa"/>
            <w:tcBorders>
              <w:top w:val="nil"/>
              <w:left w:val="nil"/>
              <w:bottom w:val="single" w:sz="4" w:space="0" w:color="auto"/>
              <w:right w:val="single" w:sz="8" w:space="0" w:color="auto"/>
            </w:tcBorders>
            <w:shd w:val="clear" w:color="auto" w:fill="auto"/>
            <w:noWrap/>
            <w:vAlign w:val="center"/>
          </w:tcPr>
          <w:p w14:paraId="0DA54DA9" w14:textId="77777777" w:rsidR="00CA353F" w:rsidRDefault="002C3F58">
            <w:r>
              <w:t>Ilgalaikio turto nusidėvėjimo ir amortizacijos sąnaudos</w:t>
            </w:r>
          </w:p>
        </w:tc>
        <w:tc>
          <w:tcPr>
            <w:tcW w:w="1012" w:type="dxa"/>
            <w:tcBorders>
              <w:top w:val="nil"/>
              <w:left w:val="nil"/>
              <w:bottom w:val="single" w:sz="4" w:space="0" w:color="auto"/>
              <w:right w:val="single" w:sz="4" w:space="0" w:color="auto"/>
            </w:tcBorders>
            <w:shd w:val="clear" w:color="auto" w:fill="auto"/>
            <w:noWrap/>
            <w:vAlign w:val="center"/>
          </w:tcPr>
          <w:p w14:paraId="0DA54DAA" w14:textId="77777777" w:rsidR="00CA353F" w:rsidRDefault="00CA353F">
            <w:pPr>
              <w:ind w:firstLine="60"/>
              <w:jc w:val="center"/>
            </w:pPr>
          </w:p>
        </w:tc>
        <w:tc>
          <w:tcPr>
            <w:tcW w:w="1012" w:type="dxa"/>
            <w:tcBorders>
              <w:top w:val="nil"/>
              <w:left w:val="nil"/>
              <w:bottom w:val="single" w:sz="4" w:space="0" w:color="auto"/>
              <w:right w:val="single" w:sz="4" w:space="0" w:color="auto"/>
            </w:tcBorders>
            <w:shd w:val="clear" w:color="auto" w:fill="auto"/>
            <w:noWrap/>
            <w:vAlign w:val="center"/>
          </w:tcPr>
          <w:p w14:paraId="0DA54DAB" w14:textId="77777777" w:rsidR="00CA353F" w:rsidRDefault="00CA353F">
            <w:pPr>
              <w:ind w:firstLine="60"/>
              <w:jc w:val="center"/>
            </w:pPr>
          </w:p>
        </w:tc>
        <w:tc>
          <w:tcPr>
            <w:tcW w:w="1013" w:type="dxa"/>
            <w:tcBorders>
              <w:top w:val="nil"/>
              <w:left w:val="nil"/>
              <w:bottom w:val="single" w:sz="4" w:space="0" w:color="auto"/>
              <w:right w:val="single" w:sz="4" w:space="0" w:color="auto"/>
            </w:tcBorders>
            <w:shd w:val="clear" w:color="auto" w:fill="auto"/>
            <w:noWrap/>
            <w:vAlign w:val="center"/>
          </w:tcPr>
          <w:p w14:paraId="0DA54DAC"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AD"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AE"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AF" w14:textId="77777777" w:rsidR="00CA353F" w:rsidRDefault="00CA353F">
            <w:pPr>
              <w:ind w:firstLine="60"/>
              <w:jc w:val="center"/>
            </w:pPr>
          </w:p>
        </w:tc>
        <w:tc>
          <w:tcPr>
            <w:tcW w:w="862" w:type="dxa"/>
            <w:tcBorders>
              <w:top w:val="nil"/>
              <w:left w:val="nil"/>
              <w:bottom w:val="single" w:sz="4" w:space="0" w:color="auto"/>
              <w:right w:val="single" w:sz="8" w:space="0" w:color="auto"/>
            </w:tcBorders>
            <w:shd w:val="clear" w:color="auto" w:fill="auto"/>
            <w:noWrap/>
            <w:vAlign w:val="center"/>
          </w:tcPr>
          <w:p w14:paraId="0DA54DB0" w14:textId="77777777" w:rsidR="00CA353F" w:rsidRDefault="00CA353F">
            <w:pPr>
              <w:ind w:firstLine="60"/>
              <w:jc w:val="center"/>
            </w:pPr>
          </w:p>
        </w:tc>
      </w:tr>
      <w:tr w:rsidR="00CA353F" w14:paraId="0DA54DBB"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DB2" w14:textId="77777777" w:rsidR="00CA353F" w:rsidRDefault="002C3F58">
            <w:pPr>
              <w:jc w:val="center"/>
            </w:pPr>
            <w:r>
              <w:t>1.2.</w:t>
            </w:r>
          </w:p>
        </w:tc>
        <w:tc>
          <w:tcPr>
            <w:tcW w:w="6992" w:type="dxa"/>
            <w:tcBorders>
              <w:top w:val="nil"/>
              <w:left w:val="nil"/>
              <w:bottom w:val="single" w:sz="4" w:space="0" w:color="auto"/>
              <w:right w:val="single" w:sz="8" w:space="0" w:color="auto"/>
            </w:tcBorders>
            <w:shd w:val="clear" w:color="auto" w:fill="auto"/>
            <w:noWrap/>
            <w:vAlign w:val="center"/>
          </w:tcPr>
          <w:p w14:paraId="0DA54DB3" w14:textId="77777777" w:rsidR="00CA353F" w:rsidRDefault="002C3F58">
            <w:r>
              <w:t>Per ataskaitinį laikotarpį paimtų paskolų suma</w:t>
            </w:r>
          </w:p>
        </w:tc>
        <w:tc>
          <w:tcPr>
            <w:tcW w:w="1012" w:type="dxa"/>
            <w:tcBorders>
              <w:top w:val="nil"/>
              <w:left w:val="nil"/>
              <w:bottom w:val="single" w:sz="4" w:space="0" w:color="auto"/>
              <w:right w:val="single" w:sz="4" w:space="0" w:color="auto"/>
            </w:tcBorders>
            <w:shd w:val="clear" w:color="auto" w:fill="auto"/>
            <w:noWrap/>
            <w:vAlign w:val="center"/>
          </w:tcPr>
          <w:p w14:paraId="0DA54DB4" w14:textId="77777777" w:rsidR="00CA353F" w:rsidRDefault="00CA353F">
            <w:pPr>
              <w:ind w:firstLine="60"/>
              <w:jc w:val="center"/>
            </w:pPr>
          </w:p>
        </w:tc>
        <w:tc>
          <w:tcPr>
            <w:tcW w:w="1012" w:type="dxa"/>
            <w:tcBorders>
              <w:top w:val="nil"/>
              <w:left w:val="nil"/>
              <w:bottom w:val="single" w:sz="4" w:space="0" w:color="auto"/>
              <w:right w:val="single" w:sz="4" w:space="0" w:color="auto"/>
            </w:tcBorders>
            <w:shd w:val="clear" w:color="auto" w:fill="auto"/>
            <w:noWrap/>
            <w:vAlign w:val="center"/>
          </w:tcPr>
          <w:p w14:paraId="0DA54DB5" w14:textId="77777777" w:rsidR="00CA353F" w:rsidRDefault="00CA353F">
            <w:pPr>
              <w:ind w:firstLine="60"/>
              <w:jc w:val="center"/>
            </w:pPr>
          </w:p>
        </w:tc>
        <w:tc>
          <w:tcPr>
            <w:tcW w:w="1013" w:type="dxa"/>
            <w:tcBorders>
              <w:top w:val="nil"/>
              <w:left w:val="nil"/>
              <w:bottom w:val="single" w:sz="4" w:space="0" w:color="auto"/>
              <w:right w:val="single" w:sz="4" w:space="0" w:color="auto"/>
            </w:tcBorders>
            <w:shd w:val="clear" w:color="auto" w:fill="auto"/>
            <w:noWrap/>
            <w:vAlign w:val="center"/>
          </w:tcPr>
          <w:p w14:paraId="0DA54DB6"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B7"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B8"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B9" w14:textId="77777777" w:rsidR="00CA353F" w:rsidRDefault="00CA353F">
            <w:pPr>
              <w:ind w:firstLine="60"/>
              <w:jc w:val="center"/>
            </w:pPr>
          </w:p>
        </w:tc>
        <w:tc>
          <w:tcPr>
            <w:tcW w:w="862" w:type="dxa"/>
            <w:tcBorders>
              <w:top w:val="nil"/>
              <w:left w:val="nil"/>
              <w:bottom w:val="single" w:sz="4" w:space="0" w:color="auto"/>
              <w:right w:val="single" w:sz="8" w:space="0" w:color="auto"/>
            </w:tcBorders>
            <w:shd w:val="clear" w:color="auto" w:fill="auto"/>
            <w:noWrap/>
            <w:vAlign w:val="center"/>
          </w:tcPr>
          <w:p w14:paraId="0DA54DBA" w14:textId="77777777" w:rsidR="00CA353F" w:rsidRDefault="00CA353F">
            <w:pPr>
              <w:ind w:firstLine="60"/>
              <w:jc w:val="center"/>
            </w:pPr>
          </w:p>
        </w:tc>
      </w:tr>
      <w:tr w:rsidR="00CA353F" w14:paraId="0DA54DC5"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DBC" w14:textId="77777777" w:rsidR="00CA353F" w:rsidRDefault="002C3F58">
            <w:pPr>
              <w:jc w:val="center"/>
            </w:pPr>
            <w:r>
              <w:t>1.3.</w:t>
            </w:r>
          </w:p>
        </w:tc>
        <w:tc>
          <w:tcPr>
            <w:tcW w:w="6992" w:type="dxa"/>
            <w:tcBorders>
              <w:top w:val="nil"/>
              <w:left w:val="nil"/>
              <w:bottom w:val="single" w:sz="4" w:space="0" w:color="auto"/>
              <w:right w:val="single" w:sz="8" w:space="0" w:color="auto"/>
            </w:tcBorders>
            <w:shd w:val="clear" w:color="auto" w:fill="auto"/>
            <w:noWrap/>
            <w:vAlign w:val="center"/>
          </w:tcPr>
          <w:p w14:paraId="0DA54DBD" w14:textId="77777777" w:rsidR="00CA353F" w:rsidRDefault="002C3F58">
            <w:r>
              <w:t xml:space="preserve">Subsidijos ir dotacijos </w:t>
            </w:r>
          </w:p>
        </w:tc>
        <w:tc>
          <w:tcPr>
            <w:tcW w:w="1012" w:type="dxa"/>
            <w:tcBorders>
              <w:top w:val="nil"/>
              <w:left w:val="nil"/>
              <w:bottom w:val="single" w:sz="4" w:space="0" w:color="auto"/>
              <w:right w:val="single" w:sz="4" w:space="0" w:color="auto"/>
            </w:tcBorders>
            <w:shd w:val="clear" w:color="auto" w:fill="auto"/>
            <w:noWrap/>
            <w:vAlign w:val="center"/>
          </w:tcPr>
          <w:p w14:paraId="0DA54DBE" w14:textId="77777777" w:rsidR="00CA353F" w:rsidRDefault="00CA353F">
            <w:pPr>
              <w:ind w:firstLine="60"/>
              <w:jc w:val="center"/>
            </w:pPr>
          </w:p>
        </w:tc>
        <w:tc>
          <w:tcPr>
            <w:tcW w:w="1012" w:type="dxa"/>
            <w:tcBorders>
              <w:top w:val="nil"/>
              <w:left w:val="nil"/>
              <w:bottom w:val="single" w:sz="4" w:space="0" w:color="auto"/>
              <w:right w:val="single" w:sz="4" w:space="0" w:color="auto"/>
            </w:tcBorders>
            <w:shd w:val="clear" w:color="auto" w:fill="auto"/>
            <w:noWrap/>
            <w:vAlign w:val="center"/>
          </w:tcPr>
          <w:p w14:paraId="0DA54DBF" w14:textId="77777777" w:rsidR="00CA353F" w:rsidRDefault="00CA353F">
            <w:pPr>
              <w:ind w:firstLine="60"/>
              <w:jc w:val="center"/>
            </w:pPr>
          </w:p>
        </w:tc>
        <w:tc>
          <w:tcPr>
            <w:tcW w:w="1013" w:type="dxa"/>
            <w:tcBorders>
              <w:top w:val="nil"/>
              <w:left w:val="nil"/>
              <w:bottom w:val="single" w:sz="4" w:space="0" w:color="auto"/>
              <w:right w:val="single" w:sz="4" w:space="0" w:color="auto"/>
            </w:tcBorders>
            <w:shd w:val="clear" w:color="auto" w:fill="auto"/>
            <w:noWrap/>
            <w:vAlign w:val="center"/>
          </w:tcPr>
          <w:p w14:paraId="0DA54DC0"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C1"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C2"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C3" w14:textId="77777777" w:rsidR="00CA353F" w:rsidRDefault="00CA353F">
            <w:pPr>
              <w:ind w:firstLine="60"/>
              <w:jc w:val="center"/>
            </w:pPr>
          </w:p>
        </w:tc>
        <w:tc>
          <w:tcPr>
            <w:tcW w:w="862" w:type="dxa"/>
            <w:tcBorders>
              <w:top w:val="nil"/>
              <w:left w:val="nil"/>
              <w:bottom w:val="single" w:sz="4" w:space="0" w:color="auto"/>
              <w:right w:val="single" w:sz="8" w:space="0" w:color="auto"/>
            </w:tcBorders>
            <w:shd w:val="clear" w:color="auto" w:fill="auto"/>
            <w:noWrap/>
            <w:vAlign w:val="center"/>
          </w:tcPr>
          <w:p w14:paraId="0DA54DC4" w14:textId="77777777" w:rsidR="00CA353F" w:rsidRDefault="00CA353F">
            <w:pPr>
              <w:ind w:firstLine="60"/>
              <w:jc w:val="center"/>
            </w:pPr>
          </w:p>
        </w:tc>
      </w:tr>
      <w:tr w:rsidR="00CA353F" w14:paraId="0DA54DCF"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DC6" w14:textId="77777777" w:rsidR="00CA353F" w:rsidRDefault="002C3F58">
            <w:pPr>
              <w:jc w:val="center"/>
              <w:rPr>
                <w:i/>
                <w:iCs/>
              </w:rPr>
            </w:pPr>
            <w:r>
              <w:rPr>
                <w:i/>
                <w:iCs/>
              </w:rPr>
              <w:t>1.3.1.</w:t>
            </w:r>
          </w:p>
        </w:tc>
        <w:tc>
          <w:tcPr>
            <w:tcW w:w="6992" w:type="dxa"/>
            <w:tcBorders>
              <w:top w:val="nil"/>
              <w:left w:val="nil"/>
              <w:bottom w:val="single" w:sz="4" w:space="0" w:color="auto"/>
              <w:right w:val="single" w:sz="8" w:space="0" w:color="auto"/>
            </w:tcBorders>
            <w:shd w:val="clear" w:color="auto" w:fill="auto"/>
            <w:noWrap/>
            <w:vAlign w:val="center"/>
          </w:tcPr>
          <w:p w14:paraId="0DA54DC7" w14:textId="77777777" w:rsidR="00CA353F" w:rsidRDefault="002C3F58">
            <w:pPr>
              <w:rPr>
                <w:i/>
                <w:iCs/>
              </w:rPr>
            </w:pPr>
            <w:r>
              <w:rPr>
                <w:i/>
                <w:iCs/>
              </w:rPr>
              <w:t>iš jų: valstybės biudžeto lėšos</w:t>
            </w:r>
          </w:p>
        </w:tc>
        <w:tc>
          <w:tcPr>
            <w:tcW w:w="1012" w:type="dxa"/>
            <w:tcBorders>
              <w:top w:val="nil"/>
              <w:left w:val="nil"/>
              <w:bottom w:val="single" w:sz="4" w:space="0" w:color="auto"/>
              <w:right w:val="single" w:sz="4" w:space="0" w:color="auto"/>
            </w:tcBorders>
            <w:shd w:val="clear" w:color="auto" w:fill="auto"/>
            <w:noWrap/>
            <w:vAlign w:val="center"/>
          </w:tcPr>
          <w:p w14:paraId="0DA54DC8" w14:textId="77777777" w:rsidR="00CA353F" w:rsidRDefault="00CA353F">
            <w:pPr>
              <w:ind w:firstLine="60"/>
              <w:jc w:val="center"/>
              <w:rPr>
                <w:i/>
                <w:iCs/>
              </w:rPr>
            </w:pPr>
          </w:p>
        </w:tc>
        <w:tc>
          <w:tcPr>
            <w:tcW w:w="1012" w:type="dxa"/>
            <w:tcBorders>
              <w:top w:val="nil"/>
              <w:left w:val="nil"/>
              <w:bottom w:val="single" w:sz="4" w:space="0" w:color="auto"/>
              <w:right w:val="single" w:sz="4" w:space="0" w:color="auto"/>
            </w:tcBorders>
            <w:shd w:val="clear" w:color="auto" w:fill="auto"/>
            <w:noWrap/>
            <w:vAlign w:val="center"/>
          </w:tcPr>
          <w:p w14:paraId="0DA54DC9" w14:textId="77777777" w:rsidR="00CA353F" w:rsidRDefault="00CA353F">
            <w:pPr>
              <w:ind w:firstLine="60"/>
              <w:jc w:val="center"/>
              <w:rPr>
                <w:i/>
                <w:iCs/>
              </w:rPr>
            </w:pPr>
          </w:p>
        </w:tc>
        <w:tc>
          <w:tcPr>
            <w:tcW w:w="1013" w:type="dxa"/>
            <w:tcBorders>
              <w:top w:val="nil"/>
              <w:left w:val="nil"/>
              <w:bottom w:val="single" w:sz="4" w:space="0" w:color="auto"/>
              <w:right w:val="single" w:sz="4" w:space="0" w:color="auto"/>
            </w:tcBorders>
            <w:shd w:val="clear" w:color="auto" w:fill="auto"/>
            <w:noWrap/>
            <w:vAlign w:val="center"/>
          </w:tcPr>
          <w:p w14:paraId="0DA54DCA" w14:textId="77777777" w:rsidR="00CA353F" w:rsidRDefault="00CA353F">
            <w:pPr>
              <w:ind w:firstLine="60"/>
              <w:jc w:val="center"/>
              <w:rPr>
                <w:i/>
                <w:iCs/>
              </w:rPr>
            </w:pPr>
          </w:p>
        </w:tc>
        <w:tc>
          <w:tcPr>
            <w:tcW w:w="862" w:type="dxa"/>
            <w:tcBorders>
              <w:top w:val="nil"/>
              <w:left w:val="nil"/>
              <w:bottom w:val="single" w:sz="4" w:space="0" w:color="auto"/>
              <w:right w:val="single" w:sz="4" w:space="0" w:color="auto"/>
            </w:tcBorders>
            <w:shd w:val="clear" w:color="auto" w:fill="auto"/>
            <w:noWrap/>
            <w:vAlign w:val="center"/>
          </w:tcPr>
          <w:p w14:paraId="0DA54DCB" w14:textId="77777777" w:rsidR="00CA353F" w:rsidRDefault="00CA353F">
            <w:pPr>
              <w:ind w:firstLine="60"/>
              <w:jc w:val="center"/>
              <w:rPr>
                <w:i/>
                <w:iCs/>
              </w:rPr>
            </w:pPr>
          </w:p>
        </w:tc>
        <w:tc>
          <w:tcPr>
            <w:tcW w:w="862" w:type="dxa"/>
            <w:tcBorders>
              <w:top w:val="nil"/>
              <w:left w:val="nil"/>
              <w:bottom w:val="single" w:sz="4" w:space="0" w:color="auto"/>
              <w:right w:val="single" w:sz="4" w:space="0" w:color="auto"/>
            </w:tcBorders>
            <w:shd w:val="clear" w:color="auto" w:fill="auto"/>
            <w:noWrap/>
            <w:vAlign w:val="center"/>
          </w:tcPr>
          <w:p w14:paraId="0DA54DCC" w14:textId="77777777" w:rsidR="00CA353F" w:rsidRDefault="00CA353F">
            <w:pPr>
              <w:ind w:firstLine="60"/>
              <w:jc w:val="center"/>
              <w:rPr>
                <w:i/>
                <w:iCs/>
              </w:rPr>
            </w:pPr>
          </w:p>
        </w:tc>
        <w:tc>
          <w:tcPr>
            <w:tcW w:w="862" w:type="dxa"/>
            <w:tcBorders>
              <w:top w:val="nil"/>
              <w:left w:val="nil"/>
              <w:bottom w:val="single" w:sz="4" w:space="0" w:color="auto"/>
              <w:right w:val="single" w:sz="4" w:space="0" w:color="auto"/>
            </w:tcBorders>
            <w:shd w:val="clear" w:color="auto" w:fill="auto"/>
            <w:noWrap/>
            <w:vAlign w:val="center"/>
          </w:tcPr>
          <w:p w14:paraId="0DA54DCD" w14:textId="77777777" w:rsidR="00CA353F" w:rsidRDefault="00CA353F">
            <w:pPr>
              <w:ind w:firstLine="60"/>
              <w:jc w:val="center"/>
              <w:rPr>
                <w:i/>
                <w:iCs/>
              </w:rPr>
            </w:pPr>
          </w:p>
        </w:tc>
        <w:tc>
          <w:tcPr>
            <w:tcW w:w="862" w:type="dxa"/>
            <w:tcBorders>
              <w:top w:val="nil"/>
              <w:left w:val="nil"/>
              <w:bottom w:val="single" w:sz="4" w:space="0" w:color="auto"/>
              <w:right w:val="single" w:sz="8" w:space="0" w:color="auto"/>
            </w:tcBorders>
            <w:shd w:val="clear" w:color="auto" w:fill="auto"/>
            <w:noWrap/>
            <w:vAlign w:val="center"/>
          </w:tcPr>
          <w:p w14:paraId="0DA54DCE" w14:textId="77777777" w:rsidR="00CA353F" w:rsidRDefault="00CA353F">
            <w:pPr>
              <w:ind w:firstLine="60"/>
              <w:jc w:val="center"/>
              <w:rPr>
                <w:i/>
                <w:iCs/>
              </w:rPr>
            </w:pPr>
          </w:p>
        </w:tc>
      </w:tr>
      <w:tr w:rsidR="00CA353F" w14:paraId="0DA54DD9"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DD0" w14:textId="77777777" w:rsidR="00CA353F" w:rsidRDefault="002C3F58">
            <w:pPr>
              <w:jc w:val="center"/>
            </w:pPr>
            <w:r>
              <w:t>1.4.</w:t>
            </w:r>
          </w:p>
        </w:tc>
        <w:tc>
          <w:tcPr>
            <w:tcW w:w="6992" w:type="dxa"/>
            <w:tcBorders>
              <w:top w:val="nil"/>
              <w:left w:val="nil"/>
              <w:bottom w:val="single" w:sz="4" w:space="0" w:color="auto"/>
              <w:right w:val="single" w:sz="8" w:space="0" w:color="auto"/>
            </w:tcBorders>
            <w:shd w:val="clear" w:color="auto" w:fill="auto"/>
            <w:noWrap/>
            <w:vAlign w:val="center"/>
          </w:tcPr>
          <w:p w14:paraId="0DA54DD1" w14:textId="77777777" w:rsidR="00CA353F" w:rsidRDefault="002C3F58">
            <w:r>
              <w:t>Grynojo pelno dalis veiklos programai įgyvendinti</w:t>
            </w:r>
          </w:p>
        </w:tc>
        <w:tc>
          <w:tcPr>
            <w:tcW w:w="1012" w:type="dxa"/>
            <w:tcBorders>
              <w:top w:val="nil"/>
              <w:left w:val="nil"/>
              <w:bottom w:val="single" w:sz="4" w:space="0" w:color="auto"/>
              <w:right w:val="single" w:sz="4" w:space="0" w:color="auto"/>
            </w:tcBorders>
            <w:shd w:val="clear" w:color="auto" w:fill="auto"/>
            <w:noWrap/>
            <w:vAlign w:val="center"/>
          </w:tcPr>
          <w:p w14:paraId="0DA54DD2" w14:textId="77777777" w:rsidR="00CA353F" w:rsidRDefault="00CA353F">
            <w:pPr>
              <w:ind w:firstLine="60"/>
              <w:jc w:val="center"/>
            </w:pPr>
          </w:p>
        </w:tc>
        <w:tc>
          <w:tcPr>
            <w:tcW w:w="1012" w:type="dxa"/>
            <w:tcBorders>
              <w:top w:val="nil"/>
              <w:left w:val="nil"/>
              <w:bottom w:val="single" w:sz="4" w:space="0" w:color="auto"/>
              <w:right w:val="single" w:sz="4" w:space="0" w:color="auto"/>
            </w:tcBorders>
            <w:shd w:val="clear" w:color="auto" w:fill="auto"/>
            <w:noWrap/>
            <w:vAlign w:val="center"/>
          </w:tcPr>
          <w:p w14:paraId="0DA54DD3" w14:textId="77777777" w:rsidR="00CA353F" w:rsidRDefault="00CA353F">
            <w:pPr>
              <w:ind w:firstLine="60"/>
              <w:jc w:val="center"/>
            </w:pPr>
          </w:p>
        </w:tc>
        <w:tc>
          <w:tcPr>
            <w:tcW w:w="1013" w:type="dxa"/>
            <w:tcBorders>
              <w:top w:val="nil"/>
              <w:left w:val="nil"/>
              <w:bottom w:val="single" w:sz="4" w:space="0" w:color="auto"/>
              <w:right w:val="single" w:sz="4" w:space="0" w:color="auto"/>
            </w:tcBorders>
            <w:shd w:val="clear" w:color="auto" w:fill="auto"/>
            <w:noWrap/>
            <w:vAlign w:val="center"/>
          </w:tcPr>
          <w:p w14:paraId="0DA54DD4"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D5"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D6"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D7" w14:textId="77777777" w:rsidR="00CA353F" w:rsidRDefault="00CA353F">
            <w:pPr>
              <w:ind w:firstLine="60"/>
              <w:jc w:val="center"/>
            </w:pPr>
          </w:p>
        </w:tc>
        <w:tc>
          <w:tcPr>
            <w:tcW w:w="862" w:type="dxa"/>
            <w:tcBorders>
              <w:top w:val="nil"/>
              <w:left w:val="nil"/>
              <w:bottom w:val="single" w:sz="4" w:space="0" w:color="auto"/>
              <w:right w:val="single" w:sz="8" w:space="0" w:color="auto"/>
            </w:tcBorders>
            <w:shd w:val="clear" w:color="auto" w:fill="auto"/>
            <w:noWrap/>
            <w:vAlign w:val="center"/>
          </w:tcPr>
          <w:p w14:paraId="0DA54DD8" w14:textId="77777777" w:rsidR="00CA353F" w:rsidRDefault="00CA353F">
            <w:pPr>
              <w:ind w:firstLine="60"/>
              <w:jc w:val="center"/>
            </w:pPr>
          </w:p>
        </w:tc>
      </w:tr>
      <w:tr w:rsidR="00CA353F" w14:paraId="0DA54DE3"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DDA" w14:textId="77777777" w:rsidR="00CA353F" w:rsidRDefault="002C3F58">
            <w:pPr>
              <w:jc w:val="center"/>
            </w:pPr>
            <w:r>
              <w:t>1.5.</w:t>
            </w:r>
          </w:p>
        </w:tc>
        <w:tc>
          <w:tcPr>
            <w:tcW w:w="6992" w:type="dxa"/>
            <w:tcBorders>
              <w:top w:val="nil"/>
              <w:left w:val="nil"/>
              <w:bottom w:val="single" w:sz="4" w:space="0" w:color="auto"/>
              <w:right w:val="single" w:sz="8" w:space="0" w:color="auto"/>
            </w:tcBorders>
            <w:shd w:val="clear" w:color="auto" w:fill="auto"/>
            <w:noWrap/>
            <w:vAlign w:val="center"/>
          </w:tcPr>
          <w:p w14:paraId="0DA54DDB" w14:textId="77777777" w:rsidR="00CA353F" w:rsidRDefault="002C3F58">
            <w:r>
              <w:t xml:space="preserve">Kiti finansavimo šaltiniai </w:t>
            </w:r>
          </w:p>
        </w:tc>
        <w:tc>
          <w:tcPr>
            <w:tcW w:w="1012" w:type="dxa"/>
            <w:tcBorders>
              <w:top w:val="nil"/>
              <w:left w:val="nil"/>
              <w:bottom w:val="single" w:sz="4" w:space="0" w:color="auto"/>
              <w:right w:val="single" w:sz="4" w:space="0" w:color="auto"/>
            </w:tcBorders>
            <w:shd w:val="clear" w:color="auto" w:fill="auto"/>
            <w:noWrap/>
            <w:vAlign w:val="center"/>
          </w:tcPr>
          <w:p w14:paraId="0DA54DDC" w14:textId="77777777" w:rsidR="00CA353F" w:rsidRDefault="00CA353F">
            <w:pPr>
              <w:ind w:firstLine="60"/>
              <w:jc w:val="center"/>
            </w:pPr>
          </w:p>
        </w:tc>
        <w:tc>
          <w:tcPr>
            <w:tcW w:w="1012" w:type="dxa"/>
            <w:tcBorders>
              <w:top w:val="nil"/>
              <w:left w:val="nil"/>
              <w:bottom w:val="single" w:sz="4" w:space="0" w:color="auto"/>
              <w:right w:val="single" w:sz="4" w:space="0" w:color="auto"/>
            </w:tcBorders>
            <w:shd w:val="clear" w:color="auto" w:fill="auto"/>
            <w:noWrap/>
            <w:vAlign w:val="center"/>
          </w:tcPr>
          <w:p w14:paraId="0DA54DDD" w14:textId="77777777" w:rsidR="00CA353F" w:rsidRDefault="00CA353F">
            <w:pPr>
              <w:ind w:firstLine="60"/>
              <w:jc w:val="center"/>
            </w:pPr>
          </w:p>
        </w:tc>
        <w:tc>
          <w:tcPr>
            <w:tcW w:w="1013" w:type="dxa"/>
            <w:tcBorders>
              <w:top w:val="nil"/>
              <w:left w:val="nil"/>
              <w:bottom w:val="single" w:sz="4" w:space="0" w:color="auto"/>
              <w:right w:val="single" w:sz="4" w:space="0" w:color="auto"/>
            </w:tcBorders>
            <w:shd w:val="clear" w:color="auto" w:fill="auto"/>
            <w:noWrap/>
            <w:vAlign w:val="center"/>
          </w:tcPr>
          <w:p w14:paraId="0DA54DDE"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DF"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E0"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E1" w14:textId="77777777" w:rsidR="00CA353F" w:rsidRDefault="00CA353F">
            <w:pPr>
              <w:ind w:firstLine="60"/>
              <w:jc w:val="center"/>
            </w:pPr>
          </w:p>
        </w:tc>
        <w:tc>
          <w:tcPr>
            <w:tcW w:w="862" w:type="dxa"/>
            <w:tcBorders>
              <w:top w:val="nil"/>
              <w:left w:val="nil"/>
              <w:bottom w:val="single" w:sz="4" w:space="0" w:color="auto"/>
              <w:right w:val="single" w:sz="8" w:space="0" w:color="auto"/>
            </w:tcBorders>
            <w:shd w:val="clear" w:color="auto" w:fill="auto"/>
            <w:noWrap/>
            <w:vAlign w:val="center"/>
          </w:tcPr>
          <w:p w14:paraId="0DA54DE2" w14:textId="77777777" w:rsidR="00CA353F" w:rsidRDefault="00CA353F">
            <w:pPr>
              <w:ind w:firstLine="60"/>
              <w:jc w:val="center"/>
            </w:pPr>
          </w:p>
        </w:tc>
      </w:tr>
      <w:tr w:rsidR="00CA353F" w14:paraId="0DA54DED"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DE4" w14:textId="77777777" w:rsidR="00CA353F" w:rsidRDefault="002C3F58">
            <w:pPr>
              <w:jc w:val="center"/>
              <w:rPr>
                <w:i/>
                <w:iCs/>
              </w:rPr>
            </w:pPr>
            <w:r>
              <w:rPr>
                <w:i/>
                <w:iCs/>
              </w:rPr>
              <w:t>1.5.1.</w:t>
            </w:r>
          </w:p>
        </w:tc>
        <w:tc>
          <w:tcPr>
            <w:tcW w:w="6992" w:type="dxa"/>
            <w:tcBorders>
              <w:top w:val="nil"/>
              <w:left w:val="nil"/>
              <w:bottom w:val="single" w:sz="4" w:space="0" w:color="auto"/>
              <w:right w:val="single" w:sz="8" w:space="0" w:color="auto"/>
            </w:tcBorders>
            <w:shd w:val="clear" w:color="auto" w:fill="auto"/>
            <w:noWrap/>
            <w:vAlign w:val="center"/>
          </w:tcPr>
          <w:p w14:paraId="0DA54DE5" w14:textId="77777777" w:rsidR="00CA353F" w:rsidRDefault="002C3F58">
            <w:pPr>
              <w:rPr>
                <w:i/>
                <w:iCs/>
              </w:rPr>
            </w:pPr>
            <w:r>
              <w:rPr>
                <w:i/>
                <w:iCs/>
              </w:rPr>
              <w:t>(išvardinti)</w:t>
            </w:r>
          </w:p>
        </w:tc>
        <w:tc>
          <w:tcPr>
            <w:tcW w:w="1012" w:type="dxa"/>
            <w:tcBorders>
              <w:top w:val="nil"/>
              <w:left w:val="nil"/>
              <w:bottom w:val="single" w:sz="4" w:space="0" w:color="auto"/>
              <w:right w:val="single" w:sz="4" w:space="0" w:color="auto"/>
            </w:tcBorders>
            <w:shd w:val="clear" w:color="auto" w:fill="auto"/>
            <w:noWrap/>
            <w:vAlign w:val="center"/>
          </w:tcPr>
          <w:p w14:paraId="0DA54DE6" w14:textId="77777777" w:rsidR="00CA353F" w:rsidRDefault="00CA353F">
            <w:pPr>
              <w:ind w:firstLine="60"/>
              <w:jc w:val="center"/>
              <w:rPr>
                <w:i/>
                <w:iCs/>
              </w:rPr>
            </w:pPr>
          </w:p>
        </w:tc>
        <w:tc>
          <w:tcPr>
            <w:tcW w:w="1012" w:type="dxa"/>
            <w:tcBorders>
              <w:top w:val="nil"/>
              <w:left w:val="nil"/>
              <w:bottom w:val="single" w:sz="4" w:space="0" w:color="auto"/>
              <w:right w:val="single" w:sz="4" w:space="0" w:color="auto"/>
            </w:tcBorders>
            <w:shd w:val="clear" w:color="auto" w:fill="auto"/>
            <w:noWrap/>
            <w:vAlign w:val="center"/>
          </w:tcPr>
          <w:p w14:paraId="0DA54DE7" w14:textId="77777777" w:rsidR="00CA353F" w:rsidRDefault="00CA353F">
            <w:pPr>
              <w:ind w:firstLine="60"/>
              <w:jc w:val="center"/>
              <w:rPr>
                <w:i/>
                <w:iCs/>
              </w:rPr>
            </w:pPr>
          </w:p>
        </w:tc>
        <w:tc>
          <w:tcPr>
            <w:tcW w:w="1013" w:type="dxa"/>
            <w:tcBorders>
              <w:top w:val="nil"/>
              <w:left w:val="nil"/>
              <w:bottom w:val="single" w:sz="4" w:space="0" w:color="auto"/>
              <w:right w:val="single" w:sz="4" w:space="0" w:color="auto"/>
            </w:tcBorders>
            <w:shd w:val="clear" w:color="auto" w:fill="auto"/>
            <w:noWrap/>
            <w:vAlign w:val="center"/>
          </w:tcPr>
          <w:p w14:paraId="0DA54DE8" w14:textId="77777777" w:rsidR="00CA353F" w:rsidRDefault="00CA353F">
            <w:pPr>
              <w:ind w:firstLine="60"/>
              <w:jc w:val="center"/>
              <w:rPr>
                <w:i/>
                <w:iCs/>
              </w:rPr>
            </w:pPr>
          </w:p>
        </w:tc>
        <w:tc>
          <w:tcPr>
            <w:tcW w:w="862" w:type="dxa"/>
            <w:tcBorders>
              <w:top w:val="nil"/>
              <w:left w:val="nil"/>
              <w:bottom w:val="single" w:sz="4" w:space="0" w:color="auto"/>
              <w:right w:val="single" w:sz="4" w:space="0" w:color="auto"/>
            </w:tcBorders>
            <w:shd w:val="clear" w:color="auto" w:fill="auto"/>
            <w:noWrap/>
            <w:vAlign w:val="center"/>
          </w:tcPr>
          <w:p w14:paraId="0DA54DE9" w14:textId="77777777" w:rsidR="00CA353F" w:rsidRDefault="00CA353F">
            <w:pPr>
              <w:ind w:firstLine="60"/>
              <w:jc w:val="center"/>
              <w:rPr>
                <w:i/>
                <w:iCs/>
              </w:rPr>
            </w:pPr>
          </w:p>
        </w:tc>
        <w:tc>
          <w:tcPr>
            <w:tcW w:w="862" w:type="dxa"/>
            <w:tcBorders>
              <w:top w:val="nil"/>
              <w:left w:val="nil"/>
              <w:bottom w:val="single" w:sz="4" w:space="0" w:color="auto"/>
              <w:right w:val="single" w:sz="4" w:space="0" w:color="auto"/>
            </w:tcBorders>
            <w:shd w:val="clear" w:color="auto" w:fill="auto"/>
            <w:noWrap/>
            <w:vAlign w:val="center"/>
          </w:tcPr>
          <w:p w14:paraId="0DA54DEA" w14:textId="77777777" w:rsidR="00CA353F" w:rsidRDefault="00CA353F">
            <w:pPr>
              <w:ind w:firstLine="60"/>
              <w:jc w:val="center"/>
              <w:rPr>
                <w:i/>
                <w:iCs/>
              </w:rPr>
            </w:pPr>
          </w:p>
        </w:tc>
        <w:tc>
          <w:tcPr>
            <w:tcW w:w="862" w:type="dxa"/>
            <w:tcBorders>
              <w:top w:val="nil"/>
              <w:left w:val="nil"/>
              <w:bottom w:val="single" w:sz="4" w:space="0" w:color="auto"/>
              <w:right w:val="single" w:sz="4" w:space="0" w:color="auto"/>
            </w:tcBorders>
            <w:shd w:val="clear" w:color="auto" w:fill="auto"/>
            <w:noWrap/>
            <w:vAlign w:val="center"/>
          </w:tcPr>
          <w:p w14:paraId="0DA54DEB" w14:textId="77777777" w:rsidR="00CA353F" w:rsidRDefault="00CA353F">
            <w:pPr>
              <w:ind w:firstLine="60"/>
              <w:jc w:val="center"/>
              <w:rPr>
                <w:i/>
                <w:iCs/>
              </w:rPr>
            </w:pPr>
          </w:p>
        </w:tc>
        <w:tc>
          <w:tcPr>
            <w:tcW w:w="862" w:type="dxa"/>
            <w:tcBorders>
              <w:top w:val="nil"/>
              <w:left w:val="nil"/>
              <w:bottom w:val="single" w:sz="4" w:space="0" w:color="auto"/>
              <w:right w:val="single" w:sz="8" w:space="0" w:color="auto"/>
            </w:tcBorders>
            <w:shd w:val="clear" w:color="auto" w:fill="auto"/>
            <w:noWrap/>
            <w:vAlign w:val="center"/>
          </w:tcPr>
          <w:p w14:paraId="0DA54DEC" w14:textId="77777777" w:rsidR="00CA353F" w:rsidRDefault="00CA353F">
            <w:pPr>
              <w:ind w:firstLine="60"/>
              <w:jc w:val="center"/>
              <w:rPr>
                <w:i/>
                <w:iCs/>
              </w:rPr>
            </w:pPr>
          </w:p>
        </w:tc>
      </w:tr>
      <w:tr w:rsidR="00CA353F" w14:paraId="0DA54DF7"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DEE" w14:textId="77777777" w:rsidR="00CA353F" w:rsidRDefault="00CA353F">
            <w:pPr>
              <w:ind w:firstLine="60"/>
              <w:jc w:val="center"/>
              <w:rPr>
                <w:i/>
                <w:iCs/>
              </w:rPr>
            </w:pPr>
          </w:p>
        </w:tc>
        <w:tc>
          <w:tcPr>
            <w:tcW w:w="6992" w:type="dxa"/>
            <w:tcBorders>
              <w:top w:val="nil"/>
              <w:left w:val="nil"/>
              <w:bottom w:val="single" w:sz="4" w:space="0" w:color="auto"/>
              <w:right w:val="single" w:sz="8" w:space="0" w:color="auto"/>
            </w:tcBorders>
            <w:shd w:val="clear" w:color="auto" w:fill="auto"/>
            <w:noWrap/>
            <w:vAlign w:val="center"/>
          </w:tcPr>
          <w:p w14:paraId="0DA54DEF" w14:textId="77777777" w:rsidR="00CA353F" w:rsidRDefault="00CA353F">
            <w:pPr>
              <w:ind w:firstLine="60"/>
              <w:rPr>
                <w:i/>
                <w:iCs/>
              </w:rPr>
            </w:pPr>
          </w:p>
        </w:tc>
        <w:tc>
          <w:tcPr>
            <w:tcW w:w="1012" w:type="dxa"/>
            <w:tcBorders>
              <w:top w:val="nil"/>
              <w:left w:val="nil"/>
              <w:bottom w:val="single" w:sz="4" w:space="0" w:color="auto"/>
              <w:right w:val="single" w:sz="4" w:space="0" w:color="auto"/>
            </w:tcBorders>
            <w:shd w:val="clear" w:color="auto" w:fill="auto"/>
            <w:noWrap/>
            <w:vAlign w:val="center"/>
          </w:tcPr>
          <w:p w14:paraId="0DA54DF0" w14:textId="77777777" w:rsidR="00CA353F" w:rsidRDefault="00CA353F">
            <w:pPr>
              <w:ind w:firstLine="60"/>
              <w:jc w:val="center"/>
              <w:rPr>
                <w:i/>
                <w:iCs/>
              </w:rPr>
            </w:pPr>
          </w:p>
        </w:tc>
        <w:tc>
          <w:tcPr>
            <w:tcW w:w="1012" w:type="dxa"/>
            <w:tcBorders>
              <w:top w:val="nil"/>
              <w:left w:val="nil"/>
              <w:bottom w:val="single" w:sz="4" w:space="0" w:color="auto"/>
              <w:right w:val="single" w:sz="4" w:space="0" w:color="auto"/>
            </w:tcBorders>
            <w:shd w:val="clear" w:color="auto" w:fill="auto"/>
            <w:noWrap/>
            <w:vAlign w:val="center"/>
          </w:tcPr>
          <w:p w14:paraId="0DA54DF1" w14:textId="77777777" w:rsidR="00CA353F" w:rsidRDefault="00CA353F">
            <w:pPr>
              <w:ind w:firstLine="60"/>
              <w:jc w:val="center"/>
              <w:rPr>
                <w:i/>
                <w:iCs/>
              </w:rPr>
            </w:pPr>
          </w:p>
        </w:tc>
        <w:tc>
          <w:tcPr>
            <w:tcW w:w="1013" w:type="dxa"/>
            <w:tcBorders>
              <w:top w:val="nil"/>
              <w:left w:val="nil"/>
              <w:bottom w:val="single" w:sz="4" w:space="0" w:color="auto"/>
              <w:right w:val="single" w:sz="4" w:space="0" w:color="auto"/>
            </w:tcBorders>
            <w:shd w:val="clear" w:color="auto" w:fill="auto"/>
            <w:noWrap/>
            <w:vAlign w:val="center"/>
          </w:tcPr>
          <w:p w14:paraId="0DA54DF2" w14:textId="77777777" w:rsidR="00CA353F" w:rsidRDefault="00CA353F">
            <w:pPr>
              <w:ind w:firstLine="60"/>
              <w:jc w:val="center"/>
              <w:rPr>
                <w:i/>
                <w:iCs/>
              </w:rPr>
            </w:pPr>
          </w:p>
        </w:tc>
        <w:tc>
          <w:tcPr>
            <w:tcW w:w="862" w:type="dxa"/>
            <w:tcBorders>
              <w:top w:val="nil"/>
              <w:left w:val="nil"/>
              <w:bottom w:val="single" w:sz="4" w:space="0" w:color="auto"/>
              <w:right w:val="single" w:sz="4" w:space="0" w:color="auto"/>
            </w:tcBorders>
            <w:shd w:val="clear" w:color="auto" w:fill="auto"/>
            <w:noWrap/>
            <w:vAlign w:val="center"/>
          </w:tcPr>
          <w:p w14:paraId="0DA54DF3" w14:textId="77777777" w:rsidR="00CA353F" w:rsidRDefault="00CA353F">
            <w:pPr>
              <w:ind w:firstLine="60"/>
              <w:jc w:val="center"/>
              <w:rPr>
                <w:i/>
                <w:iCs/>
              </w:rPr>
            </w:pPr>
          </w:p>
        </w:tc>
        <w:tc>
          <w:tcPr>
            <w:tcW w:w="862" w:type="dxa"/>
            <w:tcBorders>
              <w:top w:val="nil"/>
              <w:left w:val="nil"/>
              <w:bottom w:val="single" w:sz="4" w:space="0" w:color="auto"/>
              <w:right w:val="single" w:sz="4" w:space="0" w:color="auto"/>
            </w:tcBorders>
            <w:shd w:val="clear" w:color="auto" w:fill="auto"/>
            <w:noWrap/>
            <w:vAlign w:val="center"/>
          </w:tcPr>
          <w:p w14:paraId="0DA54DF4" w14:textId="77777777" w:rsidR="00CA353F" w:rsidRDefault="00CA353F">
            <w:pPr>
              <w:ind w:firstLine="60"/>
              <w:jc w:val="center"/>
              <w:rPr>
                <w:i/>
                <w:iCs/>
              </w:rPr>
            </w:pPr>
          </w:p>
        </w:tc>
        <w:tc>
          <w:tcPr>
            <w:tcW w:w="862" w:type="dxa"/>
            <w:tcBorders>
              <w:top w:val="nil"/>
              <w:left w:val="nil"/>
              <w:bottom w:val="single" w:sz="4" w:space="0" w:color="auto"/>
              <w:right w:val="single" w:sz="4" w:space="0" w:color="auto"/>
            </w:tcBorders>
            <w:shd w:val="clear" w:color="auto" w:fill="auto"/>
            <w:noWrap/>
            <w:vAlign w:val="center"/>
          </w:tcPr>
          <w:p w14:paraId="0DA54DF5" w14:textId="77777777" w:rsidR="00CA353F" w:rsidRDefault="00CA353F">
            <w:pPr>
              <w:ind w:firstLine="60"/>
              <w:jc w:val="center"/>
              <w:rPr>
                <w:i/>
                <w:iCs/>
              </w:rPr>
            </w:pPr>
          </w:p>
        </w:tc>
        <w:tc>
          <w:tcPr>
            <w:tcW w:w="862" w:type="dxa"/>
            <w:tcBorders>
              <w:top w:val="nil"/>
              <w:left w:val="nil"/>
              <w:bottom w:val="single" w:sz="4" w:space="0" w:color="auto"/>
              <w:right w:val="single" w:sz="8" w:space="0" w:color="auto"/>
            </w:tcBorders>
            <w:shd w:val="clear" w:color="auto" w:fill="auto"/>
            <w:noWrap/>
            <w:vAlign w:val="center"/>
          </w:tcPr>
          <w:p w14:paraId="0DA54DF6" w14:textId="77777777" w:rsidR="00CA353F" w:rsidRDefault="00CA353F">
            <w:pPr>
              <w:ind w:firstLine="60"/>
              <w:jc w:val="center"/>
              <w:rPr>
                <w:i/>
                <w:iCs/>
              </w:rPr>
            </w:pPr>
          </w:p>
        </w:tc>
      </w:tr>
      <w:tr w:rsidR="00CA353F" w14:paraId="0DA54E01"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DF8" w14:textId="77777777" w:rsidR="00CA353F" w:rsidRDefault="002C3F58">
            <w:pPr>
              <w:jc w:val="center"/>
            </w:pPr>
            <w:r>
              <w:t>2.</w:t>
            </w:r>
          </w:p>
        </w:tc>
        <w:tc>
          <w:tcPr>
            <w:tcW w:w="6992" w:type="dxa"/>
            <w:tcBorders>
              <w:top w:val="nil"/>
              <w:left w:val="nil"/>
              <w:bottom w:val="single" w:sz="4" w:space="0" w:color="auto"/>
              <w:right w:val="single" w:sz="8" w:space="0" w:color="auto"/>
            </w:tcBorders>
            <w:shd w:val="clear" w:color="auto" w:fill="auto"/>
            <w:noWrap/>
            <w:vAlign w:val="center"/>
          </w:tcPr>
          <w:p w14:paraId="0DA54DF9" w14:textId="77777777" w:rsidR="00CA353F" w:rsidRDefault="002C3F58">
            <w:pPr>
              <w:jc w:val="center"/>
            </w:pPr>
            <w:r>
              <w:t>LĖŠŲ  PANAUDOJIMAS</w:t>
            </w:r>
          </w:p>
        </w:tc>
        <w:tc>
          <w:tcPr>
            <w:tcW w:w="1012" w:type="dxa"/>
            <w:tcBorders>
              <w:top w:val="nil"/>
              <w:left w:val="nil"/>
              <w:bottom w:val="single" w:sz="4" w:space="0" w:color="auto"/>
              <w:right w:val="single" w:sz="4" w:space="0" w:color="auto"/>
            </w:tcBorders>
            <w:shd w:val="clear" w:color="auto" w:fill="auto"/>
            <w:noWrap/>
            <w:vAlign w:val="center"/>
          </w:tcPr>
          <w:p w14:paraId="0DA54DFA" w14:textId="77777777" w:rsidR="00CA353F" w:rsidRDefault="00CA353F">
            <w:pPr>
              <w:ind w:firstLine="60"/>
              <w:jc w:val="center"/>
            </w:pPr>
          </w:p>
        </w:tc>
        <w:tc>
          <w:tcPr>
            <w:tcW w:w="1012" w:type="dxa"/>
            <w:tcBorders>
              <w:top w:val="nil"/>
              <w:left w:val="nil"/>
              <w:bottom w:val="single" w:sz="4" w:space="0" w:color="auto"/>
              <w:right w:val="single" w:sz="4" w:space="0" w:color="auto"/>
            </w:tcBorders>
            <w:shd w:val="clear" w:color="auto" w:fill="auto"/>
            <w:noWrap/>
            <w:vAlign w:val="center"/>
          </w:tcPr>
          <w:p w14:paraId="0DA54DFB" w14:textId="77777777" w:rsidR="00CA353F" w:rsidRDefault="00CA353F">
            <w:pPr>
              <w:ind w:firstLine="60"/>
              <w:jc w:val="center"/>
            </w:pPr>
          </w:p>
        </w:tc>
        <w:tc>
          <w:tcPr>
            <w:tcW w:w="1013" w:type="dxa"/>
            <w:tcBorders>
              <w:top w:val="nil"/>
              <w:left w:val="nil"/>
              <w:bottom w:val="single" w:sz="4" w:space="0" w:color="auto"/>
              <w:right w:val="single" w:sz="4" w:space="0" w:color="auto"/>
            </w:tcBorders>
            <w:shd w:val="clear" w:color="auto" w:fill="auto"/>
            <w:noWrap/>
            <w:vAlign w:val="center"/>
          </w:tcPr>
          <w:p w14:paraId="0DA54DFC"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FD"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FE"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DFF" w14:textId="77777777" w:rsidR="00CA353F" w:rsidRDefault="00CA353F">
            <w:pPr>
              <w:ind w:firstLine="60"/>
              <w:jc w:val="center"/>
            </w:pPr>
          </w:p>
        </w:tc>
        <w:tc>
          <w:tcPr>
            <w:tcW w:w="862" w:type="dxa"/>
            <w:tcBorders>
              <w:top w:val="nil"/>
              <w:left w:val="nil"/>
              <w:bottom w:val="single" w:sz="4" w:space="0" w:color="auto"/>
              <w:right w:val="single" w:sz="8" w:space="0" w:color="auto"/>
            </w:tcBorders>
            <w:shd w:val="clear" w:color="auto" w:fill="auto"/>
            <w:noWrap/>
            <w:vAlign w:val="center"/>
          </w:tcPr>
          <w:p w14:paraId="0DA54E00" w14:textId="77777777" w:rsidR="00CA353F" w:rsidRDefault="00CA353F">
            <w:pPr>
              <w:ind w:firstLine="60"/>
              <w:jc w:val="center"/>
            </w:pPr>
          </w:p>
        </w:tc>
      </w:tr>
      <w:tr w:rsidR="00CA353F" w14:paraId="0DA54E0B" w14:textId="77777777">
        <w:trPr>
          <w:trHeight w:val="285"/>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E02" w14:textId="77777777" w:rsidR="00CA353F" w:rsidRDefault="002C3F58">
            <w:pPr>
              <w:jc w:val="center"/>
            </w:pPr>
            <w:r>
              <w:lastRenderedPageBreak/>
              <w:t>2.1.</w:t>
            </w:r>
          </w:p>
        </w:tc>
        <w:tc>
          <w:tcPr>
            <w:tcW w:w="6992" w:type="dxa"/>
            <w:tcBorders>
              <w:top w:val="nil"/>
              <w:left w:val="nil"/>
              <w:bottom w:val="single" w:sz="4" w:space="0" w:color="auto"/>
              <w:right w:val="single" w:sz="8" w:space="0" w:color="auto"/>
            </w:tcBorders>
            <w:shd w:val="clear" w:color="auto" w:fill="auto"/>
            <w:vAlign w:val="center"/>
          </w:tcPr>
          <w:p w14:paraId="0DA54E03" w14:textId="77777777" w:rsidR="00CA353F" w:rsidRDefault="002C3F58">
            <w:r>
              <w:t>Investicijų projektai, finansuojami ne tik reguliuojamos veiklos lėšomis (1.3, 1.6 eilutės)</w:t>
            </w:r>
          </w:p>
        </w:tc>
        <w:tc>
          <w:tcPr>
            <w:tcW w:w="1012" w:type="dxa"/>
            <w:tcBorders>
              <w:top w:val="nil"/>
              <w:left w:val="nil"/>
              <w:bottom w:val="single" w:sz="4" w:space="0" w:color="auto"/>
              <w:right w:val="single" w:sz="4" w:space="0" w:color="auto"/>
            </w:tcBorders>
            <w:shd w:val="clear" w:color="auto" w:fill="auto"/>
            <w:noWrap/>
            <w:vAlign w:val="center"/>
          </w:tcPr>
          <w:p w14:paraId="0DA54E04" w14:textId="77777777" w:rsidR="00CA353F" w:rsidRDefault="00CA353F">
            <w:pPr>
              <w:ind w:firstLine="60"/>
              <w:jc w:val="center"/>
            </w:pPr>
          </w:p>
        </w:tc>
        <w:tc>
          <w:tcPr>
            <w:tcW w:w="1012" w:type="dxa"/>
            <w:tcBorders>
              <w:top w:val="nil"/>
              <w:left w:val="nil"/>
              <w:bottom w:val="single" w:sz="4" w:space="0" w:color="auto"/>
              <w:right w:val="single" w:sz="4" w:space="0" w:color="auto"/>
            </w:tcBorders>
            <w:shd w:val="clear" w:color="auto" w:fill="auto"/>
            <w:noWrap/>
            <w:vAlign w:val="center"/>
          </w:tcPr>
          <w:p w14:paraId="0DA54E05" w14:textId="77777777" w:rsidR="00CA353F" w:rsidRDefault="00CA353F">
            <w:pPr>
              <w:ind w:firstLine="60"/>
              <w:jc w:val="center"/>
            </w:pPr>
          </w:p>
        </w:tc>
        <w:tc>
          <w:tcPr>
            <w:tcW w:w="1013" w:type="dxa"/>
            <w:tcBorders>
              <w:top w:val="nil"/>
              <w:left w:val="nil"/>
              <w:bottom w:val="single" w:sz="4" w:space="0" w:color="auto"/>
              <w:right w:val="single" w:sz="4" w:space="0" w:color="auto"/>
            </w:tcBorders>
            <w:shd w:val="clear" w:color="auto" w:fill="auto"/>
            <w:noWrap/>
            <w:vAlign w:val="center"/>
          </w:tcPr>
          <w:p w14:paraId="0DA54E06"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07"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08"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09" w14:textId="77777777" w:rsidR="00CA353F" w:rsidRDefault="00CA353F">
            <w:pPr>
              <w:ind w:firstLine="60"/>
              <w:jc w:val="center"/>
            </w:pPr>
          </w:p>
        </w:tc>
        <w:tc>
          <w:tcPr>
            <w:tcW w:w="862" w:type="dxa"/>
            <w:tcBorders>
              <w:top w:val="nil"/>
              <w:left w:val="nil"/>
              <w:bottom w:val="single" w:sz="4" w:space="0" w:color="auto"/>
              <w:right w:val="single" w:sz="8" w:space="0" w:color="auto"/>
            </w:tcBorders>
            <w:shd w:val="clear" w:color="auto" w:fill="auto"/>
            <w:noWrap/>
            <w:vAlign w:val="center"/>
          </w:tcPr>
          <w:p w14:paraId="0DA54E0A" w14:textId="77777777" w:rsidR="00CA353F" w:rsidRDefault="00CA353F">
            <w:pPr>
              <w:ind w:firstLine="60"/>
              <w:jc w:val="center"/>
            </w:pPr>
          </w:p>
        </w:tc>
      </w:tr>
      <w:tr w:rsidR="00CA353F" w14:paraId="0DA54E15"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E0C" w14:textId="77777777" w:rsidR="00CA353F" w:rsidRDefault="002C3F58">
            <w:pPr>
              <w:jc w:val="center"/>
              <w:rPr>
                <w:i/>
                <w:iCs/>
              </w:rPr>
            </w:pPr>
            <w:r>
              <w:rPr>
                <w:i/>
                <w:iCs/>
              </w:rPr>
              <w:t>2.1.1.</w:t>
            </w:r>
          </w:p>
        </w:tc>
        <w:tc>
          <w:tcPr>
            <w:tcW w:w="6992" w:type="dxa"/>
            <w:tcBorders>
              <w:top w:val="nil"/>
              <w:left w:val="nil"/>
              <w:bottom w:val="single" w:sz="4" w:space="0" w:color="auto"/>
              <w:right w:val="single" w:sz="8" w:space="0" w:color="auto"/>
            </w:tcBorders>
            <w:shd w:val="clear" w:color="auto" w:fill="auto"/>
            <w:noWrap/>
            <w:vAlign w:val="center"/>
          </w:tcPr>
          <w:p w14:paraId="0DA54E0D" w14:textId="77777777" w:rsidR="00CA353F" w:rsidRDefault="002C3F58">
            <w:pPr>
              <w:rPr>
                <w:i/>
                <w:iCs/>
              </w:rPr>
            </w:pPr>
            <w:r>
              <w:rPr>
                <w:i/>
                <w:iCs/>
              </w:rPr>
              <w:t>(išvardinti)</w:t>
            </w:r>
          </w:p>
        </w:tc>
        <w:tc>
          <w:tcPr>
            <w:tcW w:w="1012" w:type="dxa"/>
            <w:tcBorders>
              <w:top w:val="nil"/>
              <w:left w:val="nil"/>
              <w:bottom w:val="single" w:sz="4" w:space="0" w:color="auto"/>
              <w:right w:val="single" w:sz="4" w:space="0" w:color="auto"/>
            </w:tcBorders>
            <w:shd w:val="clear" w:color="auto" w:fill="auto"/>
            <w:noWrap/>
            <w:vAlign w:val="center"/>
          </w:tcPr>
          <w:p w14:paraId="0DA54E0E" w14:textId="77777777" w:rsidR="00CA353F" w:rsidRDefault="00CA353F">
            <w:pPr>
              <w:ind w:firstLine="60"/>
              <w:jc w:val="center"/>
              <w:rPr>
                <w:i/>
                <w:iCs/>
              </w:rPr>
            </w:pPr>
          </w:p>
        </w:tc>
        <w:tc>
          <w:tcPr>
            <w:tcW w:w="1012" w:type="dxa"/>
            <w:tcBorders>
              <w:top w:val="nil"/>
              <w:left w:val="nil"/>
              <w:bottom w:val="single" w:sz="4" w:space="0" w:color="auto"/>
              <w:right w:val="single" w:sz="4" w:space="0" w:color="auto"/>
            </w:tcBorders>
            <w:shd w:val="clear" w:color="auto" w:fill="auto"/>
            <w:noWrap/>
            <w:vAlign w:val="center"/>
          </w:tcPr>
          <w:p w14:paraId="0DA54E0F" w14:textId="77777777" w:rsidR="00CA353F" w:rsidRDefault="00CA353F">
            <w:pPr>
              <w:ind w:firstLine="60"/>
              <w:jc w:val="center"/>
              <w:rPr>
                <w:i/>
                <w:iCs/>
              </w:rPr>
            </w:pPr>
          </w:p>
        </w:tc>
        <w:tc>
          <w:tcPr>
            <w:tcW w:w="1013" w:type="dxa"/>
            <w:tcBorders>
              <w:top w:val="nil"/>
              <w:left w:val="nil"/>
              <w:bottom w:val="single" w:sz="4" w:space="0" w:color="auto"/>
              <w:right w:val="single" w:sz="4" w:space="0" w:color="auto"/>
            </w:tcBorders>
            <w:shd w:val="clear" w:color="auto" w:fill="auto"/>
            <w:noWrap/>
            <w:vAlign w:val="center"/>
          </w:tcPr>
          <w:p w14:paraId="0DA54E10" w14:textId="77777777" w:rsidR="00CA353F" w:rsidRDefault="00CA353F">
            <w:pPr>
              <w:ind w:firstLine="60"/>
              <w:jc w:val="center"/>
              <w:rPr>
                <w:i/>
                <w:iCs/>
              </w:rPr>
            </w:pPr>
          </w:p>
        </w:tc>
        <w:tc>
          <w:tcPr>
            <w:tcW w:w="862" w:type="dxa"/>
            <w:tcBorders>
              <w:top w:val="nil"/>
              <w:left w:val="nil"/>
              <w:bottom w:val="single" w:sz="4" w:space="0" w:color="auto"/>
              <w:right w:val="single" w:sz="4" w:space="0" w:color="auto"/>
            </w:tcBorders>
            <w:shd w:val="clear" w:color="auto" w:fill="auto"/>
            <w:noWrap/>
            <w:vAlign w:val="center"/>
          </w:tcPr>
          <w:p w14:paraId="0DA54E11" w14:textId="77777777" w:rsidR="00CA353F" w:rsidRDefault="00CA353F">
            <w:pPr>
              <w:ind w:firstLine="60"/>
              <w:jc w:val="center"/>
              <w:rPr>
                <w:i/>
                <w:iCs/>
              </w:rPr>
            </w:pPr>
          </w:p>
        </w:tc>
        <w:tc>
          <w:tcPr>
            <w:tcW w:w="862" w:type="dxa"/>
            <w:tcBorders>
              <w:top w:val="nil"/>
              <w:left w:val="nil"/>
              <w:bottom w:val="single" w:sz="4" w:space="0" w:color="auto"/>
              <w:right w:val="single" w:sz="4" w:space="0" w:color="auto"/>
            </w:tcBorders>
            <w:shd w:val="clear" w:color="auto" w:fill="auto"/>
            <w:noWrap/>
            <w:vAlign w:val="center"/>
          </w:tcPr>
          <w:p w14:paraId="0DA54E12" w14:textId="77777777" w:rsidR="00CA353F" w:rsidRDefault="00CA353F">
            <w:pPr>
              <w:ind w:firstLine="60"/>
              <w:jc w:val="center"/>
              <w:rPr>
                <w:i/>
                <w:iCs/>
              </w:rPr>
            </w:pPr>
          </w:p>
        </w:tc>
        <w:tc>
          <w:tcPr>
            <w:tcW w:w="862" w:type="dxa"/>
            <w:tcBorders>
              <w:top w:val="nil"/>
              <w:left w:val="nil"/>
              <w:bottom w:val="single" w:sz="4" w:space="0" w:color="auto"/>
              <w:right w:val="single" w:sz="4" w:space="0" w:color="auto"/>
            </w:tcBorders>
            <w:shd w:val="clear" w:color="auto" w:fill="auto"/>
            <w:noWrap/>
            <w:vAlign w:val="center"/>
          </w:tcPr>
          <w:p w14:paraId="0DA54E13" w14:textId="77777777" w:rsidR="00CA353F" w:rsidRDefault="00CA353F">
            <w:pPr>
              <w:ind w:firstLine="60"/>
              <w:jc w:val="center"/>
              <w:rPr>
                <w:i/>
                <w:iCs/>
              </w:rPr>
            </w:pPr>
          </w:p>
        </w:tc>
        <w:tc>
          <w:tcPr>
            <w:tcW w:w="862" w:type="dxa"/>
            <w:tcBorders>
              <w:top w:val="nil"/>
              <w:left w:val="nil"/>
              <w:bottom w:val="single" w:sz="4" w:space="0" w:color="auto"/>
              <w:right w:val="single" w:sz="8" w:space="0" w:color="auto"/>
            </w:tcBorders>
            <w:shd w:val="clear" w:color="auto" w:fill="auto"/>
            <w:noWrap/>
            <w:vAlign w:val="center"/>
          </w:tcPr>
          <w:p w14:paraId="0DA54E14" w14:textId="77777777" w:rsidR="00CA353F" w:rsidRDefault="00CA353F">
            <w:pPr>
              <w:ind w:firstLine="60"/>
              <w:jc w:val="center"/>
              <w:rPr>
                <w:i/>
                <w:iCs/>
              </w:rPr>
            </w:pPr>
          </w:p>
        </w:tc>
      </w:tr>
      <w:tr w:rsidR="00CA353F" w14:paraId="0DA54E1F"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E16" w14:textId="77777777" w:rsidR="00CA353F" w:rsidRDefault="002C3F58">
            <w:pPr>
              <w:jc w:val="center"/>
            </w:pPr>
            <w:r>
              <w:t>2.2.</w:t>
            </w:r>
          </w:p>
        </w:tc>
        <w:tc>
          <w:tcPr>
            <w:tcW w:w="6992" w:type="dxa"/>
            <w:tcBorders>
              <w:top w:val="nil"/>
              <w:left w:val="nil"/>
              <w:bottom w:val="single" w:sz="4" w:space="0" w:color="auto"/>
              <w:right w:val="single" w:sz="8" w:space="0" w:color="auto"/>
            </w:tcBorders>
            <w:shd w:val="clear" w:color="auto" w:fill="auto"/>
            <w:noWrap/>
            <w:vAlign w:val="center"/>
          </w:tcPr>
          <w:p w14:paraId="0DA54E17" w14:textId="77777777" w:rsidR="00CA353F" w:rsidRDefault="002C3F58">
            <w:r>
              <w:t>Įmonės veiklos programoms vykdyti, iš viso:</w:t>
            </w:r>
          </w:p>
        </w:tc>
        <w:tc>
          <w:tcPr>
            <w:tcW w:w="1012" w:type="dxa"/>
            <w:tcBorders>
              <w:top w:val="nil"/>
              <w:left w:val="nil"/>
              <w:bottom w:val="single" w:sz="4" w:space="0" w:color="auto"/>
              <w:right w:val="single" w:sz="4" w:space="0" w:color="auto"/>
            </w:tcBorders>
            <w:shd w:val="clear" w:color="auto" w:fill="auto"/>
            <w:noWrap/>
            <w:vAlign w:val="center"/>
          </w:tcPr>
          <w:p w14:paraId="0DA54E18" w14:textId="77777777" w:rsidR="00CA353F" w:rsidRDefault="00CA353F">
            <w:pPr>
              <w:ind w:firstLine="60"/>
              <w:jc w:val="center"/>
            </w:pPr>
          </w:p>
        </w:tc>
        <w:tc>
          <w:tcPr>
            <w:tcW w:w="1012" w:type="dxa"/>
            <w:tcBorders>
              <w:top w:val="nil"/>
              <w:left w:val="nil"/>
              <w:bottom w:val="single" w:sz="4" w:space="0" w:color="auto"/>
              <w:right w:val="single" w:sz="4" w:space="0" w:color="auto"/>
            </w:tcBorders>
            <w:shd w:val="clear" w:color="auto" w:fill="auto"/>
            <w:noWrap/>
            <w:vAlign w:val="center"/>
          </w:tcPr>
          <w:p w14:paraId="0DA54E19" w14:textId="77777777" w:rsidR="00CA353F" w:rsidRDefault="00CA353F">
            <w:pPr>
              <w:ind w:firstLine="60"/>
              <w:jc w:val="center"/>
            </w:pPr>
          </w:p>
        </w:tc>
        <w:tc>
          <w:tcPr>
            <w:tcW w:w="1013" w:type="dxa"/>
            <w:tcBorders>
              <w:top w:val="nil"/>
              <w:left w:val="nil"/>
              <w:bottom w:val="single" w:sz="4" w:space="0" w:color="auto"/>
              <w:right w:val="single" w:sz="4" w:space="0" w:color="auto"/>
            </w:tcBorders>
            <w:shd w:val="clear" w:color="auto" w:fill="auto"/>
            <w:noWrap/>
            <w:vAlign w:val="center"/>
          </w:tcPr>
          <w:p w14:paraId="0DA54E1A"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1B"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1C"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1D" w14:textId="77777777" w:rsidR="00CA353F" w:rsidRDefault="00CA353F">
            <w:pPr>
              <w:ind w:firstLine="60"/>
              <w:jc w:val="center"/>
            </w:pPr>
          </w:p>
        </w:tc>
        <w:tc>
          <w:tcPr>
            <w:tcW w:w="862" w:type="dxa"/>
            <w:tcBorders>
              <w:top w:val="nil"/>
              <w:left w:val="nil"/>
              <w:bottom w:val="single" w:sz="4" w:space="0" w:color="auto"/>
              <w:right w:val="single" w:sz="8" w:space="0" w:color="auto"/>
            </w:tcBorders>
            <w:shd w:val="clear" w:color="auto" w:fill="auto"/>
            <w:noWrap/>
            <w:vAlign w:val="center"/>
          </w:tcPr>
          <w:p w14:paraId="0DA54E1E" w14:textId="77777777" w:rsidR="00CA353F" w:rsidRDefault="00CA353F">
            <w:pPr>
              <w:ind w:firstLine="60"/>
              <w:jc w:val="center"/>
            </w:pPr>
          </w:p>
        </w:tc>
      </w:tr>
      <w:tr w:rsidR="00CA353F" w14:paraId="0DA54E29"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E20" w14:textId="77777777" w:rsidR="00CA353F" w:rsidRDefault="002C3F58">
            <w:pPr>
              <w:jc w:val="center"/>
            </w:pPr>
            <w:r>
              <w:t>2.2.1.</w:t>
            </w:r>
          </w:p>
        </w:tc>
        <w:tc>
          <w:tcPr>
            <w:tcW w:w="6992" w:type="dxa"/>
            <w:tcBorders>
              <w:top w:val="nil"/>
              <w:left w:val="nil"/>
              <w:bottom w:val="single" w:sz="4" w:space="0" w:color="auto"/>
              <w:right w:val="single" w:sz="8" w:space="0" w:color="auto"/>
            </w:tcBorders>
            <w:shd w:val="clear" w:color="auto" w:fill="auto"/>
            <w:noWrap/>
            <w:vAlign w:val="center"/>
          </w:tcPr>
          <w:p w14:paraId="0DA54E21" w14:textId="77777777" w:rsidR="00CA353F" w:rsidRDefault="002C3F58">
            <w:r>
              <w:t>Naujas turtas, iš viso:</w:t>
            </w:r>
          </w:p>
        </w:tc>
        <w:tc>
          <w:tcPr>
            <w:tcW w:w="1012" w:type="dxa"/>
            <w:tcBorders>
              <w:top w:val="nil"/>
              <w:left w:val="nil"/>
              <w:bottom w:val="single" w:sz="4" w:space="0" w:color="auto"/>
              <w:right w:val="single" w:sz="4" w:space="0" w:color="auto"/>
            </w:tcBorders>
            <w:shd w:val="clear" w:color="auto" w:fill="auto"/>
            <w:noWrap/>
            <w:vAlign w:val="center"/>
          </w:tcPr>
          <w:p w14:paraId="0DA54E22" w14:textId="77777777" w:rsidR="00CA353F" w:rsidRDefault="00CA353F">
            <w:pPr>
              <w:ind w:firstLine="60"/>
              <w:jc w:val="center"/>
            </w:pPr>
          </w:p>
        </w:tc>
        <w:tc>
          <w:tcPr>
            <w:tcW w:w="1012" w:type="dxa"/>
            <w:tcBorders>
              <w:top w:val="nil"/>
              <w:left w:val="nil"/>
              <w:bottom w:val="single" w:sz="4" w:space="0" w:color="auto"/>
              <w:right w:val="single" w:sz="4" w:space="0" w:color="auto"/>
            </w:tcBorders>
            <w:shd w:val="clear" w:color="auto" w:fill="auto"/>
            <w:noWrap/>
            <w:vAlign w:val="center"/>
          </w:tcPr>
          <w:p w14:paraId="0DA54E23" w14:textId="77777777" w:rsidR="00CA353F" w:rsidRDefault="00CA353F">
            <w:pPr>
              <w:ind w:firstLine="60"/>
              <w:jc w:val="center"/>
            </w:pPr>
          </w:p>
        </w:tc>
        <w:tc>
          <w:tcPr>
            <w:tcW w:w="1013" w:type="dxa"/>
            <w:tcBorders>
              <w:top w:val="nil"/>
              <w:left w:val="nil"/>
              <w:bottom w:val="single" w:sz="4" w:space="0" w:color="auto"/>
              <w:right w:val="single" w:sz="4" w:space="0" w:color="auto"/>
            </w:tcBorders>
            <w:shd w:val="clear" w:color="auto" w:fill="auto"/>
            <w:noWrap/>
            <w:vAlign w:val="center"/>
          </w:tcPr>
          <w:p w14:paraId="0DA54E24"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25"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26"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27" w14:textId="77777777" w:rsidR="00CA353F" w:rsidRDefault="00CA353F">
            <w:pPr>
              <w:ind w:firstLine="60"/>
              <w:jc w:val="center"/>
            </w:pPr>
          </w:p>
        </w:tc>
        <w:tc>
          <w:tcPr>
            <w:tcW w:w="862" w:type="dxa"/>
            <w:tcBorders>
              <w:top w:val="nil"/>
              <w:left w:val="nil"/>
              <w:bottom w:val="single" w:sz="4" w:space="0" w:color="auto"/>
              <w:right w:val="single" w:sz="8" w:space="0" w:color="auto"/>
            </w:tcBorders>
            <w:shd w:val="clear" w:color="auto" w:fill="auto"/>
            <w:noWrap/>
            <w:vAlign w:val="center"/>
          </w:tcPr>
          <w:p w14:paraId="0DA54E28" w14:textId="77777777" w:rsidR="00CA353F" w:rsidRDefault="00CA353F">
            <w:pPr>
              <w:ind w:firstLine="60"/>
              <w:jc w:val="center"/>
            </w:pPr>
          </w:p>
        </w:tc>
      </w:tr>
      <w:tr w:rsidR="00CA353F" w14:paraId="0DA54E33"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E2A" w14:textId="77777777" w:rsidR="00CA353F" w:rsidRDefault="002C3F58">
            <w:pPr>
              <w:jc w:val="center"/>
            </w:pPr>
            <w:r>
              <w:t>2.2.1.1.</w:t>
            </w:r>
          </w:p>
        </w:tc>
        <w:tc>
          <w:tcPr>
            <w:tcW w:w="6992" w:type="dxa"/>
            <w:tcBorders>
              <w:top w:val="nil"/>
              <w:left w:val="nil"/>
              <w:bottom w:val="single" w:sz="4" w:space="0" w:color="auto"/>
              <w:right w:val="single" w:sz="8" w:space="0" w:color="auto"/>
            </w:tcBorders>
            <w:shd w:val="clear" w:color="auto" w:fill="auto"/>
            <w:noWrap/>
            <w:vAlign w:val="center"/>
          </w:tcPr>
          <w:p w14:paraId="0DA54E2B" w14:textId="77777777" w:rsidR="00CA353F" w:rsidRDefault="002C3F58">
            <w:r>
              <w:t>transporto priemonės</w:t>
            </w:r>
          </w:p>
        </w:tc>
        <w:tc>
          <w:tcPr>
            <w:tcW w:w="1012" w:type="dxa"/>
            <w:tcBorders>
              <w:top w:val="nil"/>
              <w:left w:val="nil"/>
              <w:bottom w:val="single" w:sz="4" w:space="0" w:color="auto"/>
              <w:right w:val="single" w:sz="4" w:space="0" w:color="auto"/>
            </w:tcBorders>
            <w:shd w:val="clear" w:color="auto" w:fill="auto"/>
            <w:noWrap/>
            <w:vAlign w:val="center"/>
          </w:tcPr>
          <w:p w14:paraId="0DA54E2C" w14:textId="77777777" w:rsidR="00CA353F" w:rsidRDefault="00CA353F">
            <w:pPr>
              <w:ind w:firstLine="60"/>
              <w:jc w:val="center"/>
            </w:pPr>
          </w:p>
        </w:tc>
        <w:tc>
          <w:tcPr>
            <w:tcW w:w="1012" w:type="dxa"/>
            <w:tcBorders>
              <w:top w:val="nil"/>
              <w:left w:val="nil"/>
              <w:bottom w:val="single" w:sz="4" w:space="0" w:color="auto"/>
              <w:right w:val="single" w:sz="4" w:space="0" w:color="auto"/>
            </w:tcBorders>
            <w:shd w:val="clear" w:color="auto" w:fill="auto"/>
            <w:noWrap/>
            <w:vAlign w:val="center"/>
          </w:tcPr>
          <w:p w14:paraId="0DA54E2D" w14:textId="77777777" w:rsidR="00CA353F" w:rsidRDefault="00CA353F">
            <w:pPr>
              <w:ind w:firstLine="60"/>
              <w:jc w:val="center"/>
            </w:pPr>
          </w:p>
        </w:tc>
        <w:tc>
          <w:tcPr>
            <w:tcW w:w="1013" w:type="dxa"/>
            <w:tcBorders>
              <w:top w:val="nil"/>
              <w:left w:val="nil"/>
              <w:bottom w:val="single" w:sz="4" w:space="0" w:color="auto"/>
              <w:right w:val="single" w:sz="4" w:space="0" w:color="auto"/>
            </w:tcBorders>
            <w:shd w:val="clear" w:color="auto" w:fill="auto"/>
            <w:noWrap/>
            <w:vAlign w:val="center"/>
          </w:tcPr>
          <w:p w14:paraId="0DA54E2E"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2F"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30"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31" w14:textId="77777777" w:rsidR="00CA353F" w:rsidRDefault="00CA353F">
            <w:pPr>
              <w:ind w:firstLine="60"/>
              <w:jc w:val="center"/>
            </w:pPr>
          </w:p>
        </w:tc>
        <w:tc>
          <w:tcPr>
            <w:tcW w:w="862" w:type="dxa"/>
            <w:tcBorders>
              <w:top w:val="nil"/>
              <w:left w:val="nil"/>
              <w:bottom w:val="single" w:sz="4" w:space="0" w:color="auto"/>
              <w:right w:val="single" w:sz="8" w:space="0" w:color="auto"/>
            </w:tcBorders>
            <w:shd w:val="clear" w:color="auto" w:fill="auto"/>
            <w:noWrap/>
            <w:vAlign w:val="center"/>
          </w:tcPr>
          <w:p w14:paraId="0DA54E32" w14:textId="77777777" w:rsidR="00CA353F" w:rsidRDefault="00CA353F">
            <w:pPr>
              <w:ind w:firstLine="60"/>
              <w:jc w:val="center"/>
            </w:pPr>
          </w:p>
        </w:tc>
      </w:tr>
      <w:tr w:rsidR="00CA353F" w14:paraId="0DA54E3D"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E34" w14:textId="77777777" w:rsidR="00CA353F" w:rsidRDefault="002C3F58">
            <w:pPr>
              <w:jc w:val="center"/>
            </w:pPr>
            <w:r>
              <w:t>2.2.1.2.</w:t>
            </w:r>
          </w:p>
        </w:tc>
        <w:tc>
          <w:tcPr>
            <w:tcW w:w="6992" w:type="dxa"/>
            <w:tcBorders>
              <w:top w:val="nil"/>
              <w:left w:val="nil"/>
              <w:bottom w:val="single" w:sz="4" w:space="0" w:color="auto"/>
              <w:right w:val="single" w:sz="8" w:space="0" w:color="auto"/>
            </w:tcBorders>
            <w:shd w:val="clear" w:color="auto" w:fill="auto"/>
            <w:noWrap/>
            <w:vAlign w:val="center"/>
          </w:tcPr>
          <w:p w14:paraId="0DA54E35" w14:textId="77777777" w:rsidR="00CA353F" w:rsidRDefault="002C3F58">
            <w:r>
              <w:t>kompiuterinė technika</w:t>
            </w:r>
          </w:p>
        </w:tc>
        <w:tc>
          <w:tcPr>
            <w:tcW w:w="1012" w:type="dxa"/>
            <w:tcBorders>
              <w:top w:val="nil"/>
              <w:left w:val="nil"/>
              <w:bottom w:val="single" w:sz="4" w:space="0" w:color="auto"/>
              <w:right w:val="single" w:sz="4" w:space="0" w:color="auto"/>
            </w:tcBorders>
            <w:shd w:val="clear" w:color="auto" w:fill="auto"/>
            <w:noWrap/>
            <w:vAlign w:val="center"/>
          </w:tcPr>
          <w:p w14:paraId="0DA54E36" w14:textId="77777777" w:rsidR="00CA353F" w:rsidRDefault="00CA353F">
            <w:pPr>
              <w:ind w:firstLine="60"/>
              <w:jc w:val="center"/>
            </w:pPr>
          </w:p>
        </w:tc>
        <w:tc>
          <w:tcPr>
            <w:tcW w:w="1012" w:type="dxa"/>
            <w:tcBorders>
              <w:top w:val="nil"/>
              <w:left w:val="nil"/>
              <w:bottom w:val="single" w:sz="4" w:space="0" w:color="auto"/>
              <w:right w:val="single" w:sz="4" w:space="0" w:color="auto"/>
            </w:tcBorders>
            <w:shd w:val="clear" w:color="auto" w:fill="auto"/>
            <w:noWrap/>
            <w:vAlign w:val="center"/>
          </w:tcPr>
          <w:p w14:paraId="0DA54E37" w14:textId="77777777" w:rsidR="00CA353F" w:rsidRDefault="00CA353F">
            <w:pPr>
              <w:ind w:firstLine="60"/>
              <w:jc w:val="center"/>
            </w:pPr>
          </w:p>
        </w:tc>
        <w:tc>
          <w:tcPr>
            <w:tcW w:w="1013" w:type="dxa"/>
            <w:tcBorders>
              <w:top w:val="nil"/>
              <w:left w:val="nil"/>
              <w:bottom w:val="single" w:sz="4" w:space="0" w:color="auto"/>
              <w:right w:val="single" w:sz="4" w:space="0" w:color="auto"/>
            </w:tcBorders>
            <w:shd w:val="clear" w:color="auto" w:fill="auto"/>
            <w:noWrap/>
            <w:vAlign w:val="center"/>
          </w:tcPr>
          <w:p w14:paraId="0DA54E38"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39"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3A"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3B" w14:textId="77777777" w:rsidR="00CA353F" w:rsidRDefault="00CA353F">
            <w:pPr>
              <w:ind w:firstLine="60"/>
              <w:jc w:val="center"/>
            </w:pPr>
          </w:p>
        </w:tc>
        <w:tc>
          <w:tcPr>
            <w:tcW w:w="862" w:type="dxa"/>
            <w:tcBorders>
              <w:top w:val="nil"/>
              <w:left w:val="nil"/>
              <w:bottom w:val="single" w:sz="4" w:space="0" w:color="auto"/>
              <w:right w:val="single" w:sz="8" w:space="0" w:color="auto"/>
            </w:tcBorders>
            <w:shd w:val="clear" w:color="auto" w:fill="auto"/>
            <w:noWrap/>
            <w:vAlign w:val="center"/>
          </w:tcPr>
          <w:p w14:paraId="0DA54E3C" w14:textId="77777777" w:rsidR="00CA353F" w:rsidRDefault="00CA353F">
            <w:pPr>
              <w:ind w:firstLine="60"/>
              <w:jc w:val="center"/>
            </w:pPr>
          </w:p>
        </w:tc>
      </w:tr>
      <w:tr w:rsidR="00CA353F" w14:paraId="0DA54E47"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E3E" w14:textId="77777777" w:rsidR="00CA353F" w:rsidRDefault="002C3F58">
            <w:pPr>
              <w:jc w:val="center"/>
            </w:pPr>
            <w:r>
              <w:t>2.2.1.3.</w:t>
            </w:r>
          </w:p>
        </w:tc>
        <w:tc>
          <w:tcPr>
            <w:tcW w:w="6992" w:type="dxa"/>
            <w:tcBorders>
              <w:top w:val="nil"/>
              <w:left w:val="nil"/>
              <w:bottom w:val="single" w:sz="4" w:space="0" w:color="auto"/>
              <w:right w:val="single" w:sz="8" w:space="0" w:color="auto"/>
            </w:tcBorders>
            <w:shd w:val="clear" w:color="auto" w:fill="auto"/>
            <w:noWrap/>
            <w:vAlign w:val="center"/>
          </w:tcPr>
          <w:p w14:paraId="0DA54E3F" w14:textId="77777777" w:rsidR="00CA353F" w:rsidRDefault="002C3F58">
            <w:r>
              <w:t>kita įranga, prietaisai, įrenginiai</w:t>
            </w:r>
          </w:p>
        </w:tc>
        <w:tc>
          <w:tcPr>
            <w:tcW w:w="1012" w:type="dxa"/>
            <w:tcBorders>
              <w:top w:val="nil"/>
              <w:left w:val="nil"/>
              <w:bottom w:val="single" w:sz="4" w:space="0" w:color="auto"/>
              <w:right w:val="single" w:sz="4" w:space="0" w:color="auto"/>
            </w:tcBorders>
            <w:shd w:val="clear" w:color="auto" w:fill="auto"/>
            <w:noWrap/>
            <w:vAlign w:val="center"/>
          </w:tcPr>
          <w:p w14:paraId="0DA54E40" w14:textId="77777777" w:rsidR="00CA353F" w:rsidRDefault="00CA353F">
            <w:pPr>
              <w:ind w:firstLine="60"/>
              <w:jc w:val="center"/>
            </w:pPr>
          </w:p>
        </w:tc>
        <w:tc>
          <w:tcPr>
            <w:tcW w:w="1012" w:type="dxa"/>
            <w:tcBorders>
              <w:top w:val="nil"/>
              <w:left w:val="nil"/>
              <w:bottom w:val="single" w:sz="4" w:space="0" w:color="auto"/>
              <w:right w:val="single" w:sz="4" w:space="0" w:color="auto"/>
            </w:tcBorders>
            <w:shd w:val="clear" w:color="auto" w:fill="auto"/>
            <w:noWrap/>
            <w:vAlign w:val="center"/>
          </w:tcPr>
          <w:p w14:paraId="0DA54E41" w14:textId="77777777" w:rsidR="00CA353F" w:rsidRDefault="00CA353F">
            <w:pPr>
              <w:ind w:firstLine="60"/>
              <w:jc w:val="center"/>
            </w:pPr>
          </w:p>
        </w:tc>
        <w:tc>
          <w:tcPr>
            <w:tcW w:w="1013" w:type="dxa"/>
            <w:tcBorders>
              <w:top w:val="nil"/>
              <w:left w:val="nil"/>
              <w:bottom w:val="single" w:sz="4" w:space="0" w:color="auto"/>
              <w:right w:val="single" w:sz="4" w:space="0" w:color="auto"/>
            </w:tcBorders>
            <w:shd w:val="clear" w:color="auto" w:fill="auto"/>
            <w:noWrap/>
            <w:vAlign w:val="center"/>
          </w:tcPr>
          <w:p w14:paraId="0DA54E42"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43"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44"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45" w14:textId="77777777" w:rsidR="00CA353F" w:rsidRDefault="00CA353F">
            <w:pPr>
              <w:ind w:firstLine="60"/>
              <w:jc w:val="center"/>
            </w:pPr>
          </w:p>
        </w:tc>
        <w:tc>
          <w:tcPr>
            <w:tcW w:w="862" w:type="dxa"/>
            <w:tcBorders>
              <w:top w:val="nil"/>
              <w:left w:val="nil"/>
              <w:bottom w:val="single" w:sz="4" w:space="0" w:color="auto"/>
              <w:right w:val="single" w:sz="8" w:space="0" w:color="auto"/>
            </w:tcBorders>
            <w:shd w:val="clear" w:color="auto" w:fill="auto"/>
            <w:noWrap/>
            <w:vAlign w:val="center"/>
          </w:tcPr>
          <w:p w14:paraId="0DA54E46" w14:textId="77777777" w:rsidR="00CA353F" w:rsidRDefault="00CA353F">
            <w:pPr>
              <w:ind w:firstLine="60"/>
              <w:jc w:val="center"/>
            </w:pPr>
          </w:p>
        </w:tc>
      </w:tr>
      <w:tr w:rsidR="00CA353F" w14:paraId="0DA54E51"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E48" w14:textId="77777777" w:rsidR="00CA353F" w:rsidRDefault="002C3F58">
            <w:pPr>
              <w:jc w:val="center"/>
            </w:pPr>
            <w:r>
              <w:t>2.2.1.4.</w:t>
            </w:r>
          </w:p>
        </w:tc>
        <w:tc>
          <w:tcPr>
            <w:tcW w:w="6992" w:type="dxa"/>
            <w:tcBorders>
              <w:top w:val="nil"/>
              <w:left w:val="nil"/>
              <w:bottom w:val="single" w:sz="4" w:space="0" w:color="auto"/>
              <w:right w:val="single" w:sz="8" w:space="0" w:color="auto"/>
            </w:tcBorders>
            <w:shd w:val="clear" w:color="auto" w:fill="auto"/>
            <w:noWrap/>
            <w:vAlign w:val="center"/>
          </w:tcPr>
          <w:p w14:paraId="0DA54E49" w14:textId="77777777" w:rsidR="00CA353F" w:rsidRDefault="002C3F58">
            <w:r>
              <w:t>nematerialus turtas</w:t>
            </w:r>
          </w:p>
        </w:tc>
        <w:tc>
          <w:tcPr>
            <w:tcW w:w="1012" w:type="dxa"/>
            <w:tcBorders>
              <w:top w:val="nil"/>
              <w:left w:val="nil"/>
              <w:bottom w:val="single" w:sz="4" w:space="0" w:color="auto"/>
              <w:right w:val="single" w:sz="4" w:space="0" w:color="auto"/>
            </w:tcBorders>
            <w:shd w:val="clear" w:color="auto" w:fill="auto"/>
            <w:noWrap/>
            <w:vAlign w:val="center"/>
          </w:tcPr>
          <w:p w14:paraId="0DA54E4A" w14:textId="77777777" w:rsidR="00CA353F" w:rsidRDefault="00CA353F">
            <w:pPr>
              <w:ind w:firstLine="60"/>
              <w:jc w:val="center"/>
            </w:pPr>
          </w:p>
        </w:tc>
        <w:tc>
          <w:tcPr>
            <w:tcW w:w="1012" w:type="dxa"/>
            <w:tcBorders>
              <w:top w:val="nil"/>
              <w:left w:val="nil"/>
              <w:bottom w:val="single" w:sz="4" w:space="0" w:color="auto"/>
              <w:right w:val="single" w:sz="4" w:space="0" w:color="auto"/>
            </w:tcBorders>
            <w:shd w:val="clear" w:color="auto" w:fill="auto"/>
            <w:noWrap/>
            <w:vAlign w:val="center"/>
          </w:tcPr>
          <w:p w14:paraId="0DA54E4B" w14:textId="77777777" w:rsidR="00CA353F" w:rsidRDefault="00CA353F">
            <w:pPr>
              <w:ind w:firstLine="60"/>
              <w:jc w:val="center"/>
            </w:pPr>
          </w:p>
        </w:tc>
        <w:tc>
          <w:tcPr>
            <w:tcW w:w="1013" w:type="dxa"/>
            <w:tcBorders>
              <w:top w:val="nil"/>
              <w:left w:val="nil"/>
              <w:bottom w:val="single" w:sz="4" w:space="0" w:color="auto"/>
              <w:right w:val="single" w:sz="4" w:space="0" w:color="auto"/>
            </w:tcBorders>
            <w:shd w:val="clear" w:color="auto" w:fill="auto"/>
            <w:noWrap/>
            <w:vAlign w:val="center"/>
          </w:tcPr>
          <w:p w14:paraId="0DA54E4C"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4D"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4E"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4F" w14:textId="77777777" w:rsidR="00CA353F" w:rsidRDefault="00CA353F">
            <w:pPr>
              <w:ind w:firstLine="60"/>
              <w:jc w:val="center"/>
            </w:pPr>
          </w:p>
        </w:tc>
        <w:tc>
          <w:tcPr>
            <w:tcW w:w="862" w:type="dxa"/>
            <w:tcBorders>
              <w:top w:val="nil"/>
              <w:left w:val="nil"/>
              <w:bottom w:val="single" w:sz="4" w:space="0" w:color="auto"/>
              <w:right w:val="single" w:sz="8" w:space="0" w:color="auto"/>
            </w:tcBorders>
            <w:shd w:val="clear" w:color="auto" w:fill="auto"/>
            <w:noWrap/>
            <w:vAlign w:val="center"/>
          </w:tcPr>
          <w:p w14:paraId="0DA54E50" w14:textId="77777777" w:rsidR="00CA353F" w:rsidRDefault="00CA353F">
            <w:pPr>
              <w:ind w:firstLine="60"/>
              <w:jc w:val="center"/>
            </w:pPr>
          </w:p>
        </w:tc>
      </w:tr>
      <w:tr w:rsidR="00CA353F" w14:paraId="0DA54E5B"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E52" w14:textId="77777777" w:rsidR="00CA353F" w:rsidRDefault="002C3F58">
            <w:pPr>
              <w:jc w:val="center"/>
            </w:pPr>
            <w:r>
              <w:t>2.2.1.5.</w:t>
            </w:r>
          </w:p>
        </w:tc>
        <w:tc>
          <w:tcPr>
            <w:tcW w:w="6992" w:type="dxa"/>
            <w:tcBorders>
              <w:top w:val="nil"/>
              <w:left w:val="nil"/>
              <w:bottom w:val="single" w:sz="4" w:space="0" w:color="auto"/>
              <w:right w:val="single" w:sz="8" w:space="0" w:color="auto"/>
            </w:tcBorders>
            <w:shd w:val="clear" w:color="auto" w:fill="auto"/>
            <w:noWrap/>
            <w:vAlign w:val="center"/>
          </w:tcPr>
          <w:p w14:paraId="0DA54E53" w14:textId="77777777" w:rsidR="00CA353F" w:rsidRDefault="002C3F58">
            <w:r>
              <w:t>kitas turtas</w:t>
            </w:r>
          </w:p>
        </w:tc>
        <w:tc>
          <w:tcPr>
            <w:tcW w:w="1012" w:type="dxa"/>
            <w:tcBorders>
              <w:top w:val="nil"/>
              <w:left w:val="nil"/>
              <w:bottom w:val="single" w:sz="4" w:space="0" w:color="auto"/>
              <w:right w:val="single" w:sz="4" w:space="0" w:color="auto"/>
            </w:tcBorders>
            <w:shd w:val="clear" w:color="auto" w:fill="auto"/>
            <w:noWrap/>
            <w:vAlign w:val="center"/>
          </w:tcPr>
          <w:p w14:paraId="0DA54E54" w14:textId="77777777" w:rsidR="00CA353F" w:rsidRDefault="00CA353F">
            <w:pPr>
              <w:ind w:firstLine="60"/>
              <w:jc w:val="center"/>
            </w:pPr>
          </w:p>
        </w:tc>
        <w:tc>
          <w:tcPr>
            <w:tcW w:w="1012" w:type="dxa"/>
            <w:tcBorders>
              <w:top w:val="nil"/>
              <w:left w:val="nil"/>
              <w:bottom w:val="single" w:sz="4" w:space="0" w:color="auto"/>
              <w:right w:val="single" w:sz="4" w:space="0" w:color="auto"/>
            </w:tcBorders>
            <w:shd w:val="clear" w:color="auto" w:fill="auto"/>
            <w:noWrap/>
            <w:vAlign w:val="center"/>
          </w:tcPr>
          <w:p w14:paraId="0DA54E55" w14:textId="77777777" w:rsidR="00CA353F" w:rsidRDefault="00CA353F">
            <w:pPr>
              <w:ind w:firstLine="60"/>
              <w:jc w:val="center"/>
            </w:pPr>
          </w:p>
        </w:tc>
        <w:tc>
          <w:tcPr>
            <w:tcW w:w="1013" w:type="dxa"/>
            <w:tcBorders>
              <w:top w:val="nil"/>
              <w:left w:val="nil"/>
              <w:bottom w:val="single" w:sz="4" w:space="0" w:color="auto"/>
              <w:right w:val="single" w:sz="4" w:space="0" w:color="auto"/>
            </w:tcBorders>
            <w:shd w:val="clear" w:color="auto" w:fill="auto"/>
            <w:noWrap/>
            <w:vAlign w:val="center"/>
          </w:tcPr>
          <w:p w14:paraId="0DA54E56"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57"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58"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59" w14:textId="77777777" w:rsidR="00CA353F" w:rsidRDefault="00CA353F">
            <w:pPr>
              <w:ind w:firstLine="60"/>
              <w:jc w:val="center"/>
            </w:pPr>
          </w:p>
        </w:tc>
        <w:tc>
          <w:tcPr>
            <w:tcW w:w="862" w:type="dxa"/>
            <w:tcBorders>
              <w:top w:val="nil"/>
              <w:left w:val="nil"/>
              <w:bottom w:val="single" w:sz="4" w:space="0" w:color="auto"/>
              <w:right w:val="single" w:sz="8" w:space="0" w:color="auto"/>
            </w:tcBorders>
            <w:shd w:val="clear" w:color="auto" w:fill="auto"/>
            <w:noWrap/>
            <w:vAlign w:val="center"/>
          </w:tcPr>
          <w:p w14:paraId="0DA54E5A" w14:textId="77777777" w:rsidR="00CA353F" w:rsidRDefault="00CA353F">
            <w:pPr>
              <w:ind w:firstLine="60"/>
              <w:jc w:val="center"/>
            </w:pPr>
          </w:p>
        </w:tc>
      </w:tr>
      <w:tr w:rsidR="00CA353F" w14:paraId="0DA54E65"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E5C" w14:textId="77777777" w:rsidR="00CA353F" w:rsidRDefault="00CA353F">
            <w:pPr>
              <w:ind w:firstLine="60"/>
              <w:jc w:val="center"/>
            </w:pPr>
          </w:p>
        </w:tc>
        <w:tc>
          <w:tcPr>
            <w:tcW w:w="6992" w:type="dxa"/>
            <w:tcBorders>
              <w:top w:val="nil"/>
              <w:left w:val="nil"/>
              <w:bottom w:val="single" w:sz="4" w:space="0" w:color="auto"/>
              <w:right w:val="single" w:sz="8" w:space="0" w:color="auto"/>
            </w:tcBorders>
            <w:shd w:val="clear" w:color="auto" w:fill="auto"/>
            <w:noWrap/>
            <w:vAlign w:val="center"/>
          </w:tcPr>
          <w:p w14:paraId="0DA54E5D" w14:textId="77777777" w:rsidR="00CA353F" w:rsidRDefault="002C3F58">
            <w:pPr>
              <w:rPr>
                <w:i/>
                <w:iCs/>
              </w:rPr>
            </w:pPr>
            <w:r>
              <w:rPr>
                <w:i/>
                <w:iCs/>
              </w:rPr>
              <w:t>(išvardinti)</w:t>
            </w:r>
          </w:p>
        </w:tc>
        <w:tc>
          <w:tcPr>
            <w:tcW w:w="1012" w:type="dxa"/>
            <w:tcBorders>
              <w:top w:val="nil"/>
              <w:left w:val="nil"/>
              <w:bottom w:val="single" w:sz="4" w:space="0" w:color="auto"/>
              <w:right w:val="single" w:sz="4" w:space="0" w:color="auto"/>
            </w:tcBorders>
            <w:shd w:val="clear" w:color="auto" w:fill="auto"/>
            <w:noWrap/>
            <w:vAlign w:val="center"/>
          </w:tcPr>
          <w:p w14:paraId="0DA54E5E" w14:textId="77777777" w:rsidR="00CA353F" w:rsidRDefault="00CA353F">
            <w:pPr>
              <w:ind w:firstLine="60"/>
              <w:jc w:val="center"/>
            </w:pPr>
          </w:p>
        </w:tc>
        <w:tc>
          <w:tcPr>
            <w:tcW w:w="1012" w:type="dxa"/>
            <w:tcBorders>
              <w:top w:val="nil"/>
              <w:left w:val="nil"/>
              <w:bottom w:val="single" w:sz="4" w:space="0" w:color="auto"/>
              <w:right w:val="single" w:sz="4" w:space="0" w:color="auto"/>
            </w:tcBorders>
            <w:shd w:val="clear" w:color="auto" w:fill="auto"/>
            <w:noWrap/>
            <w:vAlign w:val="center"/>
          </w:tcPr>
          <w:p w14:paraId="0DA54E5F" w14:textId="77777777" w:rsidR="00CA353F" w:rsidRDefault="00CA353F">
            <w:pPr>
              <w:ind w:firstLine="60"/>
              <w:jc w:val="center"/>
            </w:pPr>
          </w:p>
        </w:tc>
        <w:tc>
          <w:tcPr>
            <w:tcW w:w="1013" w:type="dxa"/>
            <w:tcBorders>
              <w:top w:val="nil"/>
              <w:left w:val="nil"/>
              <w:bottom w:val="single" w:sz="4" w:space="0" w:color="auto"/>
              <w:right w:val="single" w:sz="4" w:space="0" w:color="auto"/>
            </w:tcBorders>
            <w:shd w:val="clear" w:color="auto" w:fill="auto"/>
            <w:noWrap/>
            <w:vAlign w:val="center"/>
          </w:tcPr>
          <w:p w14:paraId="0DA54E60"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61"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62"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63" w14:textId="77777777" w:rsidR="00CA353F" w:rsidRDefault="00CA353F">
            <w:pPr>
              <w:ind w:firstLine="60"/>
              <w:jc w:val="center"/>
            </w:pPr>
          </w:p>
        </w:tc>
        <w:tc>
          <w:tcPr>
            <w:tcW w:w="862" w:type="dxa"/>
            <w:tcBorders>
              <w:top w:val="nil"/>
              <w:left w:val="nil"/>
              <w:bottom w:val="single" w:sz="4" w:space="0" w:color="auto"/>
              <w:right w:val="single" w:sz="8" w:space="0" w:color="auto"/>
            </w:tcBorders>
            <w:shd w:val="clear" w:color="auto" w:fill="auto"/>
            <w:noWrap/>
            <w:vAlign w:val="center"/>
          </w:tcPr>
          <w:p w14:paraId="0DA54E64" w14:textId="77777777" w:rsidR="00CA353F" w:rsidRDefault="00CA353F">
            <w:pPr>
              <w:ind w:firstLine="60"/>
              <w:jc w:val="center"/>
            </w:pPr>
          </w:p>
        </w:tc>
      </w:tr>
      <w:tr w:rsidR="00CA353F" w14:paraId="0DA54E6F"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E66" w14:textId="77777777" w:rsidR="00CA353F" w:rsidRDefault="002C3F58">
            <w:pPr>
              <w:jc w:val="center"/>
            </w:pPr>
            <w:r>
              <w:t>2.2.2.</w:t>
            </w:r>
          </w:p>
        </w:tc>
        <w:tc>
          <w:tcPr>
            <w:tcW w:w="6992" w:type="dxa"/>
            <w:tcBorders>
              <w:top w:val="nil"/>
              <w:left w:val="nil"/>
              <w:bottom w:val="single" w:sz="4" w:space="0" w:color="auto"/>
              <w:right w:val="single" w:sz="8" w:space="0" w:color="auto"/>
            </w:tcBorders>
            <w:shd w:val="clear" w:color="auto" w:fill="auto"/>
            <w:noWrap/>
            <w:vAlign w:val="center"/>
          </w:tcPr>
          <w:p w14:paraId="0DA54E67" w14:textId="77777777" w:rsidR="00CA353F" w:rsidRDefault="002C3F58">
            <w:r>
              <w:t>Turto atstatymas, rekonstrukcija, iš viso:</w:t>
            </w:r>
          </w:p>
        </w:tc>
        <w:tc>
          <w:tcPr>
            <w:tcW w:w="1012" w:type="dxa"/>
            <w:tcBorders>
              <w:top w:val="nil"/>
              <w:left w:val="nil"/>
              <w:bottom w:val="single" w:sz="4" w:space="0" w:color="auto"/>
              <w:right w:val="single" w:sz="4" w:space="0" w:color="auto"/>
            </w:tcBorders>
            <w:shd w:val="clear" w:color="auto" w:fill="auto"/>
            <w:noWrap/>
            <w:vAlign w:val="center"/>
          </w:tcPr>
          <w:p w14:paraId="0DA54E68" w14:textId="77777777" w:rsidR="00CA353F" w:rsidRDefault="00CA353F">
            <w:pPr>
              <w:ind w:firstLine="60"/>
              <w:jc w:val="center"/>
            </w:pPr>
          </w:p>
        </w:tc>
        <w:tc>
          <w:tcPr>
            <w:tcW w:w="1012" w:type="dxa"/>
            <w:tcBorders>
              <w:top w:val="nil"/>
              <w:left w:val="nil"/>
              <w:bottom w:val="single" w:sz="4" w:space="0" w:color="auto"/>
              <w:right w:val="single" w:sz="4" w:space="0" w:color="auto"/>
            </w:tcBorders>
            <w:shd w:val="clear" w:color="auto" w:fill="auto"/>
            <w:noWrap/>
            <w:vAlign w:val="center"/>
          </w:tcPr>
          <w:p w14:paraId="0DA54E69" w14:textId="77777777" w:rsidR="00CA353F" w:rsidRDefault="00CA353F">
            <w:pPr>
              <w:ind w:firstLine="60"/>
              <w:jc w:val="center"/>
            </w:pPr>
          </w:p>
        </w:tc>
        <w:tc>
          <w:tcPr>
            <w:tcW w:w="1013" w:type="dxa"/>
            <w:tcBorders>
              <w:top w:val="nil"/>
              <w:left w:val="nil"/>
              <w:bottom w:val="single" w:sz="4" w:space="0" w:color="auto"/>
              <w:right w:val="single" w:sz="4" w:space="0" w:color="auto"/>
            </w:tcBorders>
            <w:shd w:val="clear" w:color="auto" w:fill="auto"/>
            <w:noWrap/>
            <w:vAlign w:val="center"/>
          </w:tcPr>
          <w:p w14:paraId="0DA54E6A"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6B"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6C" w14:textId="77777777" w:rsidR="00CA353F" w:rsidRDefault="00CA353F">
            <w:pPr>
              <w:ind w:firstLine="60"/>
              <w:jc w:val="center"/>
            </w:pPr>
          </w:p>
        </w:tc>
        <w:tc>
          <w:tcPr>
            <w:tcW w:w="862" w:type="dxa"/>
            <w:tcBorders>
              <w:top w:val="nil"/>
              <w:left w:val="nil"/>
              <w:bottom w:val="single" w:sz="4" w:space="0" w:color="auto"/>
              <w:right w:val="single" w:sz="4" w:space="0" w:color="auto"/>
            </w:tcBorders>
            <w:shd w:val="clear" w:color="auto" w:fill="auto"/>
            <w:noWrap/>
            <w:vAlign w:val="center"/>
          </w:tcPr>
          <w:p w14:paraId="0DA54E6D" w14:textId="77777777" w:rsidR="00CA353F" w:rsidRDefault="00CA353F">
            <w:pPr>
              <w:ind w:firstLine="60"/>
              <w:jc w:val="center"/>
            </w:pPr>
          </w:p>
        </w:tc>
        <w:tc>
          <w:tcPr>
            <w:tcW w:w="862" w:type="dxa"/>
            <w:tcBorders>
              <w:top w:val="nil"/>
              <w:left w:val="nil"/>
              <w:bottom w:val="single" w:sz="4" w:space="0" w:color="auto"/>
              <w:right w:val="single" w:sz="8" w:space="0" w:color="auto"/>
            </w:tcBorders>
            <w:shd w:val="clear" w:color="auto" w:fill="auto"/>
            <w:noWrap/>
            <w:vAlign w:val="center"/>
          </w:tcPr>
          <w:p w14:paraId="0DA54E6E" w14:textId="77777777" w:rsidR="00CA353F" w:rsidRDefault="00CA353F">
            <w:pPr>
              <w:ind w:firstLine="60"/>
              <w:jc w:val="center"/>
            </w:pPr>
          </w:p>
        </w:tc>
      </w:tr>
      <w:tr w:rsidR="00CA353F" w14:paraId="0DA54E79" w14:textId="77777777">
        <w:trPr>
          <w:trHeight w:val="240"/>
        </w:trPr>
        <w:tc>
          <w:tcPr>
            <w:tcW w:w="1263" w:type="dxa"/>
            <w:tcBorders>
              <w:top w:val="nil"/>
              <w:left w:val="single" w:sz="8" w:space="0" w:color="auto"/>
              <w:bottom w:val="single" w:sz="4" w:space="0" w:color="auto"/>
              <w:right w:val="single" w:sz="4" w:space="0" w:color="auto"/>
            </w:tcBorders>
            <w:shd w:val="clear" w:color="auto" w:fill="auto"/>
            <w:noWrap/>
            <w:vAlign w:val="center"/>
          </w:tcPr>
          <w:p w14:paraId="0DA54E70" w14:textId="77777777" w:rsidR="00CA353F" w:rsidRDefault="002C3F58">
            <w:pPr>
              <w:jc w:val="center"/>
              <w:rPr>
                <w:i/>
                <w:iCs/>
              </w:rPr>
            </w:pPr>
            <w:r>
              <w:rPr>
                <w:i/>
                <w:iCs/>
              </w:rPr>
              <w:t>2.2.2.1.</w:t>
            </w:r>
          </w:p>
        </w:tc>
        <w:tc>
          <w:tcPr>
            <w:tcW w:w="6992" w:type="dxa"/>
            <w:tcBorders>
              <w:top w:val="nil"/>
              <w:left w:val="nil"/>
              <w:bottom w:val="single" w:sz="4" w:space="0" w:color="auto"/>
              <w:right w:val="single" w:sz="8" w:space="0" w:color="auto"/>
            </w:tcBorders>
            <w:shd w:val="clear" w:color="auto" w:fill="auto"/>
            <w:noWrap/>
            <w:vAlign w:val="center"/>
          </w:tcPr>
          <w:p w14:paraId="0DA54E71" w14:textId="77777777" w:rsidR="00CA353F" w:rsidRDefault="002C3F58">
            <w:pPr>
              <w:rPr>
                <w:i/>
                <w:iCs/>
              </w:rPr>
            </w:pPr>
            <w:r>
              <w:rPr>
                <w:i/>
                <w:iCs/>
              </w:rPr>
              <w:t>(išvardinti)</w:t>
            </w:r>
          </w:p>
        </w:tc>
        <w:tc>
          <w:tcPr>
            <w:tcW w:w="1012" w:type="dxa"/>
            <w:tcBorders>
              <w:top w:val="nil"/>
              <w:left w:val="nil"/>
              <w:bottom w:val="nil"/>
              <w:right w:val="single" w:sz="4" w:space="0" w:color="auto"/>
            </w:tcBorders>
            <w:shd w:val="clear" w:color="auto" w:fill="auto"/>
            <w:noWrap/>
            <w:vAlign w:val="center"/>
          </w:tcPr>
          <w:p w14:paraId="0DA54E72" w14:textId="77777777" w:rsidR="00CA353F" w:rsidRDefault="00CA353F">
            <w:pPr>
              <w:ind w:firstLine="60"/>
              <w:jc w:val="center"/>
            </w:pPr>
          </w:p>
        </w:tc>
        <w:tc>
          <w:tcPr>
            <w:tcW w:w="1012" w:type="dxa"/>
            <w:tcBorders>
              <w:top w:val="nil"/>
              <w:left w:val="nil"/>
              <w:bottom w:val="nil"/>
              <w:right w:val="single" w:sz="4" w:space="0" w:color="auto"/>
            </w:tcBorders>
            <w:shd w:val="clear" w:color="auto" w:fill="auto"/>
            <w:noWrap/>
            <w:vAlign w:val="center"/>
          </w:tcPr>
          <w:p w14:paraId="0DA54E73" w14:textId="77777777" w:rsidR="00CA353F" w:rsidRDefault="00CA353F">
            <w:pPr>
              <w:ind w:firstLine="60"/>
              <w:jc w:val="center"/>
            </w:pPr>
          </w:p>
        </w:tc>
        <w:tc>
          <w:tcPr>
            <w:tcW w:w="1013" w:type="dxa"/>
            <w:tcBorders>
              <w:top w:val="nil"/>
              <w:left w:val="nil"/>
              <w:bottom w:val="nil"/>
              <w:right w:val="single" w:sz="4" w:space="0" w:color="auto"/>
            </w:tcBorders>
            <w:shd w:val="clear" w:color="auto" w:fill="auto"/>
            <w:noWrap/>
            <w:vAlign w:val="center"/>
          </w:tcPr>
          <w:p w14:paraId="0DA54E74" w14:textId="77777777" w:rsidR="00CA353F" w:rsidRDefault="00CA353F">
            <w:pPr>
              <w:ind w:firstLine="60"/>
              <w:jc w:val="center"/>
            </w:pPr>
          </w:p>
        </w:tc>
        <w:tc>
          <w:tcPr>
            <w:tcW w:w="862" w:type="dxa"/>
            <w:tcBorders>
              <w:top w:val="nil"/>
              <w:left w:val="nil"/>
              <w:bottom w:val="nil"/>
              <w:right w:val="single" w:sz="4" w:space="0" w:color="auto"/>
            </w:tcBorders>
            <w:shd w:val="clear" w:color="auto" w:fill="auto"/>
            <w:noWrap/>
            <w:vAlign w:val="center"/>
          </w:tcPr>
          <w:p w14:paraId="0DA54E75" w14:textId="77777777" w:rsidR="00CA353F" w:rsidRDefault="00CA353F">
            <w:pPr>
              <w:ind w:firstLine="60"/>
              <w:jc w:val="center"/>
            </w:pPr>
          </w:p>
        </w:tc>
        <w:tc>
          <w:tcPr>
            <w:tcW w:w="862" w:type="dxa"/>
            <w:tcBorders>
              <w:top w:val="nil"/>
              <w:left w:val="nil"/>
              <w:bottom w:val="nil"/>
              <w:right w:val="single" w:sz="4" w:space="0" w:color="auto"/>
            </w:tcBorders>
            <w:shd w:val="clear" w:color="auto" w:fill="auto"/>
            <w:noWrap/>
            <w:vAlign w:val="center"/>
          </w:tcPr>
          <w:p w14:paraId="0DA54E76" w14:textId="77777777" w:rsidR="00CA353F" w:rsidRDefault="00CA353F">
            <w:pPr>
              <w:ind w:firstLine="60"/>
              <w:jc w:val="center"/>
            </w:pPr>
          </w:p>
        </w:tc>
        <w:tc>
          <w:tcPr>
            <w:tcW w:w="862" w:type="dxa"/>
            <w:tcBorders>
              <w:top w:val="nil"/>
              <w:left w:val="nil"/>
              <w:bottom w:val="nil"/>
              <w:right w:val="single" w:sz="4" w:space="0" w:color="auto"/>
            </w:tcBorders>
            <w:shd w:val="clear" w:color="auto" w:fill="auto"/>
            <w:noWrap/>
            <w:vAlign w:val="center"/>
          </w:tcPr>
          <w:p w14:paraId="0DA54E77" w14:textId="77777777" w:rsidR="00CA353F" w:rsidRDefault="00CA353F">
            <w:pPr>
              <w:ind w:firstLine="60"/>
              <w:jc w:val="center"/>
            </w:pPr>
          </w:p>
        </w:tc>
        <w:tc>
          <w:tcPr>
            <w:tcW w:w="862" w:type="dxa"/>
            <w:tcBorders>
              <w:top w:val="nil"/>
              <w:left w:val="nil"/>
              <w:bottom w:val="nil"/>
              <w:right w:val="single" w:sz="8" w:space="0" w:color="auto"/>
            </w:tcBorders>
            <w:shd w:val="clear" w:color="auto" w:fill="auto"/>
            <w:noWrap/>
            <w:vAlign w:val="center"/>
          </w:tcPr>
          <w:p w14:paraId="0DA54E78" w14:textId="77777777" w:rsidR="00CA353F" w:rsidRDefault="00CA353F">
            <w:pPr>
              <w:ind w:firstLine="60"/>
              <w:jc w:val="center"/>
            </w:pPr>
          </w:p>
        </w:tc>
      </w:tr>
      <w:tr w:rsidR="00CA353F" w14:paraId="0DA54E83" w14:textId="77777777">
        <w:trPr>
          <w:trHeight w:val="240"/>
        </w:trPr>
        <w:tc>
          <w:tcPr>
            <w:tcW w:w="1263" w:type="dxa"/>
            <w:tcBorders>
              <w:top w:val="nil"/>
              <w:left w:val="single" w:sz="8" w:space="0" w:color="auto"/>
              <w:bottom w:val="nil"/>
              <w:right w:val="single" w:sz="4" w:space="0" w:color="auto"/>
            </w:tcBorders>
            <w:shd w:val="clear" w:color="auto" w:fill="auto"/>
            <w:noWrap/>
            <w:vAlign w:val="center"/>
          </w:tcPr>
          <w:p w14:paraId="0DA54E7A" w14:textId="77777777" w:rsidR="00CA353F" w:rsidRDefault="002C3F58">
            <w:pPr>
              <w:jc w:val="center"/>
            </w:pPr>
            <w:r>
              <w:t>2.3.</w:t>
            </w:r>
          </w:p>
        </w:tc>
        <w:tc>
          <w:tcPr>
            <w:tcW w:w="6992" w:type="dxa"/>
            <w:tcBorders>
              <w:top w:val="nil"/>
              <w:left w:val="nil"/>
              <w:bottom w:val="single" w:sz="4" w:space="0" w:color="auto"/>
              <w:right w:val="single" w:sz="8" w:space="0" w:color="auto"/>
            </w:tcBorders>
            <w:shd w:val="clear" w:color="auto" w:fill="auto"/>
            <w:noWrap/>
            <w:vAlign w:val="center"/>
          </w:tcPr>
          <w:p w14:paraId="0DA54E7B" w14:textId="77777777" w:rsidR="00CA353F" w:rsidRDefault="002C3F58">
            <w:r>
              <w:t>Paskoloms grąžinti</w:t>
            </w:r>
          </w:p>
        </w:tc>
        <w:tc>
          <w:tcPr>
            <w:tcW w:w="1012" w:type="dxa"/>
            <w:tcBorders>
              <w:top w:val="single" w:sz="4" w:space="0" w:color="auto"/>
              <w:left w:val="nil"/>
              <w:bottom w:val="nil"/>
              <w:right w:val="single" w:sz="4" w:space="0" w:color="auto"/>
            </w:tcBorders>
            <w:shd w:val="clear" w:color="auto" w:fill="auto"/>
            <w:noWrap/>
            <w:vAlign w:val="center"/>
          </w:tcPr>
          <w:p w14:paraId="0DA54E7C" w14:textId="77777777" w:rsidR="00CA353F" w:rsidRDefault="00CA353F">
            <w:pPr>
              <w:ind w:firstLine="60"/>
              <w:jc w:val="center"/>
            </w:pPr>
          </w:p>
        </w:tc>
        <w:tc>
          <w:tcPr>
            <w:tcW w:w="1012" w:type="dxa"/>
            <w:tcBorders>
              <w:top w:val="single" w:sz="4" w:space="0" w:color="auto"/>
              <w:left w:val="nil"/>
              <w:bottom w:val="nil"/>
              <w:right w:val="single" w:sz="4" w:space="0" w:color="auto"/>
            </w:tcBorders>
            <w:shd w:val="clear" w:color="auto" w:fill="auto"/>
            <w:noWrap/>
            <w:vAlign w:val="center"/>
          </w:tcPr>
          <w:p w14:paraId="0DA54E7D" w14:textId="77777777" w:rsidR="00CA353F" w:rsidRDefault="00CA353F">
            <w:pPr>
              <w:ind w:firstLine="60"/>
              <w:jc w:val="center"/>
            </w:pPr>
          </w:p>
        </w:tc>
        <w:tc>
          <w:tcPr>
            <w:tcW w:w="1013" w:type="dxa"/>
            <w:tcBorders>
              <w:top w:val="single" w:sz="4" w:space="0" w:color="auto"/>
              <w:left w:val="nil"/>
              <w:bottom w:val="nil"/>
              <w:right w:val="single" w:sz="4" w:space="0" w:color="auto"/>
            </w:tcBorders>
            <w:shd w:val="clear" w:color="auto" w:fill="auto"/>
            <w:noWrap/>
            <w:vAlign w:val="center"/>
          </w:tcPr>
          <w:p w14:paraId="0DA54E7E" w14:textId="77777777" w:rsidR="00CA353F" w:rsidRDefault="00CA353F">
            <w:pPr>
              <w:ind w:firstLine="60"/>
              <w:jc w:val="center"/>
            </w:pPr>
          </w:p>
        </w:tc>
        <w:tc>
          <w:tcPr>
            <w:tcW w:w="862" w:type="dxa"/>
            <w:tcBorders>
              <w:top w:val="single" w:sz="4" w:space="0" w:color="auto"/>
              <w:left w:val="nil"/>
              <w:bottom w:val="nil"/>
              <w:right w:val="single" w:sz="4" w:space="0" w:color="auto"/>
            </w:tcBorders>
            <w:shd w:val="clear" w:color="auto" w:fill="auto"/>
            <w:noWrap/>
            <w:vAlign w:val="center"/>
          </w:tcPr>
          <w:p w14:paraId="0DA54E7F" w14:textId="77777777" w:rsidR="00CA353F" w:rsidRDefault="00CA353F">
            <w:pPr>
              <w:ind w:firstLine="60"/>
              <w:jc w:val="center"/>
            </w:pPr>
          </w:p>
        </w:tc>
        <w:tc>
          <w:tcPr>
            <w:tcW w:w="862" w:type="dxa"/>
            <w:tcBorders>
              <w:top w:val="single" w:sz="4" w:space="0" w:color="auto"/>
              <w:left w:val="nil"/>
              <w:bottom w:val="nil"/>
              <w:right w:val="single" w:sz="4" w:space="0" w:color="auto"/>
            </w:tcBorders>
            <w:shd w:val="clear" w:color="auto" w:fill="auto"/>
            <w:noWrap/>
            <w:vAlign w:val="center"/>
          </w:tcPr>
          <w:p w14:paraId="0DA54E80" w14:textId="77777777" w:rsidR="00CA353F" w:rsidRDefault="00CA353F">
            <w:pPr>
              <w:ind w:firstLine="60"/>
              <w:jc w:val="center"/>
            </w:pPr>
          </w:p>
        </w:tc>
        <w:tc>
          <w:tcPr>
            <w:tcW w:w="862" w:type="dxa"/>
            <w:tcBorders>
              <w:top w:val="single" w:sz="4" w:space="0" w:color="auto"/>
              <w:left w:val="nil"/>
              <w:bottom w:val="nil"/>
              <w:right w:val="single" w:sz="4" w:space="0" w:color="auto"/>
            </w:tcBorders>
            <w:shd w:val="clear" w:color="auto" w:fill="auto"/>
            <w:noWrap/>
            <w:vAlign w:val="center"/>
          </w:tcPr>
          <w:p w14:paraId="0DA54E81" w14:textId="77777777" w:rsidR="00CA353F" w:rsidRDefault="00CA353F">
            <w:pPr>
              <w:ind w:firstLine="60"/>
              <w:jc w:val="center"/>
            </w:pPr>
          </w:p>
        </w:tc>
        <w:tc>
          <w:tcPr>
            <w:tcW w:w="862" w:type="dxa"/>
            <w:tcBorders>
              <w:top w:val="single" w:sz="4" w:space="0" w:color="auto"/>
              <w:left w:val="nil"/>
              <w:bottom w:val="nil"/>
              <w:right w:val="single" w:sz="8" w:space="0" w:color="auto"/>
            </w:tcBorders>
            <w:shd w:val="clear" w:color="auto" w:fill="auto"/>
            <w:noWrap/>
            <w:vAlign w:val="center"/>
          </w:tcPr>
          <w:p w14:paraId="0DA54E82" w14:textId="77777777" w:rsidR="00CA353F" w:rsidRDefault="00CA353F">
            <w:pPr>
              <w:ind w:firstLine="60"/>
              <w:jc w:val="center"/>
            </w:pPr>
          </w:p>
        </w:tc>
      </w:tr>
      <w:tr w:rsidR="00CA353F" w14:paraId="0DA54E8D" w14:textId="77777777">
        <w:trPr>
          <w:trHeight w:val="240"/>
        </w:trPr>
        <w:tc>
          <w:tcPr>
            <w:tcW w:w="1263" w:type="dxa"/>
            <w:tcBorders>
              <w:top w:val="single" w:sz="4" w:space="0" w:color="auto"/>
              <w:left w:val="single" w:sz="8" w:space="0" w:color="auto"/>
              <w:bottom w:val="nil"/>
              <w:right w:val="single" w:sz="4" w:space="0" w:color="auto"/>
            </w:tcBorders>
            <w:shd w:val="clear" w:color="auto" w:fill="auto"/>
            <w:noWrap/>
            <w:vAlign w:val="center"/>
          </w:tcPr>
          <w:p w14:paraId="0DA54E84" w14:textId="77777777" w:rsidR="00CA353F" w:rsidRDefault="002C3F58">
            <w:pPr>
              <w:jc w:val="center"/>
            </w:pPr>
            <w:r>
              <w:t>2.4.</w:t>
            </w:r>
          </w:p>
        </w:tc>
        <w:tc>
          <w:tcPr>
            <w:tcW w:w="6992" w:type="dxa"/>
            <w:tcBorders>
              <w:top w:val="nil"/>
              <w:left w:val="nil"/>
              <w:bottom w:val="nil"/>
              <w:right w:val="single" w:sz="8" w:space="0" w:color="auto"/>
            </w:tcBorders>
            <w:shd w:val="clear" w:color="auto" w:fill="auto"/>
            <w:noWrap/>
            <w:vAlign w:val="center"/>
          </w:tcPr>
          <w:p w14:paraId="0DA54E85" w14:textId="77777777" w:rsidR="00CA353F" w:rsidRDefault="002C3F58">
            <w:r>
              <w:t>Kitos lėšų panaudojimo sritys</w:t>
            </w:r>
          </w:p>
        </w:tc>
        <w:tc>
          <w:tcPr>
            <w:tcW w:w="1012" w:type="dxa"/>
            <w:tcBorders>
              <w:top w:val="single" w:sz="4" w:space="0" w:color="auto"/>
              <w:left w:val="nil"/>
              <w:bottom w:val="nil"/>
              <w:right w:val="single" w:sz="4" w:space="0" w:color="auto"/>
            </w:tcBorders>
            <w:shd w:val="clear" w:color="auto" w:fill="auto"/>
            <w:noWrap/>
            <w:vAlign w:val="center"/>
          </w:tcPr>
          <w:p w14:paraId="0DA54E86" w14:textId="77777777" w:rsidR="00CA353F" w:rsidRDefault="00CA353F">
            <w:pPr>
              <w:ind w:firstLine="60"/>
              <w:jc w:val="center"/>
            </w:pPr>
          </w:p>
        </w:tc>
        <w:tc>
          <w:tcPr>
            <w:tcW w:w="1012" w:type="dxa"/>
            <w:tcBorders>
              <w:top w:val="single" w:sz="4" w:space="0" w:color="auto"/>
              <w:left w:val="nil"/>
              <w:bottom w:val="nil"/>
              <w:right w:val="single" w:sz="4" w:space="0" w:color="auto"/>
            </w:tcBorders>
            <w:shd w:val="clear" w:color="auto" w:fill="auto"/>
            <w:noWrap/>
            <w:vAlign w:val="center"/>
          </w:tcPr>
          <w:p w14:paraId="0DA54E87" w14:textId="77777777" w:rsidR="00CA353F" w:rsidRDefault="00CA353F">
            <w:pPr>
              <w:ind w:firstLine="60"/>
              <w:jc w:val="center"/>
            </w:pPr>
          </w:p>
        </w:tc>
        <w:tc>
          <w:tcPr>
            <w:tcW w:w="1013" w:type="dxa"/>
            <w:tcBorders>
              <w:top w:val="single" w:sz="4" w:space="0" w:color="auto"/>
              <w:left w:val="nil"/>
              <w:bottom w:val="nil"/>
              <w:right w:val="single" w:sz="4" w:space="0" w:color="auto"/>
            </w:tcBorders>
            <w:shd w:val="clear" w:color="auto" w:fill="auto"/>
            <w:noWrap/>
            <w:vAlign w:val="center"/>
          </w:tcPr>
          <w:p w14:paraId="0DA54E88" w14:textId="77777777" w:rsidR="00CA353F" w:rsidRDefault="00CA353F">
            <w:pPr>
              <w:ind w:firstLine="60"/>
              <w:jc w:val="center"/>
            </w:pPr>
          </w:p>
        </w:tc>
        <w:tc>
          <w:tcPr>
            <w:tcW w:w="862" w:type="dxa"/>
            <w:tcBorders>
              <w:top w:val="single" w:sz="4" w:space="0" w:color="auto"/>
              <w:left w:val="nil"/>
              <w:bottom w:val="nil"/>
              <w:right w:val="single" w:sz="4" w:space="0" w:color="auto"/>
            </w:tcBorders>
            <w:shd w:val="clear" w:color="auto" w:fill="auto"/>
            <w:noWrap/>
            <w:vAlign w:val="center"/>
          </w:tcPr>
          <w:p w14:paraId="0DA54E89" w14:textId="77777777" w:rsidR="00CA353F" w:rsidRDefault="00CA353F">
            <w:pPr>
              <w:ind w:firstLine="60"/>
              <w:jc w:val="center"/>
            </w:pPr>
          </w:p>
        </w:tc>
        <w:tc>
          <w:tcPr>
            <w:tcW w:w="862" w:type="dxa"/>
            <w:tcBorders>
              <w:top w:val="single" w:sz="4" w:space="0" w:color="auto"/>
              <w:left w:val="nil"/>
              <w:bottom w:val="nil"/>
              <w:right w:val="single" w:sz="4" w:space="0" w:color="auto"/>
            </w:tcBorders>
            <w:shd w:val="clear" w:color="auto" w:fill="auto"/>
            <w:noWrap/>
            <w:vAlign w:val="center"/>
          </w:tcPr>
          <w:p w14:paraId="0DA54E8A" w14:textId="77777777" w:rsidR="00CA353F" w:rsidRDefault="00CA353F">
            <w:pPr>
              <w:ind w:firstLine="60"/>
              <w:jc w:val="center"/>
            </w:pPr>
          </w:p>
        </w:tc>
        <w:tc>
          <w:tcPr>
            <w:tcW w:w="862" w:type="dxa"/>
            <w:tcBorders>
              <w:top w:val="single" w:sz="4" w:space="0" w:color="auto"/>
              <w:left w:val="nil"/>
              <w:bottom w:val="nil"/>
              <w:right w:val="single" w:sz="4" w:space="0" w:color="auto"/>
            </w:tcBorders>
            <w:shd w:val="clear" w:color="auto" w:fill="auto"/>
            <w:noWrap/>
            <w:vAlign w:val="center"/>
          </w:tcPr>
          <w:p w14:paraId="0DA54E8B" w14:textId="77777777" w:rsidR="00CA353F" w:rsidRDefault="00CA353F">
            <w:pPr>
              <w:ind w:firstLine="60"/>
              <w:jc w:val="center"/>
            </w:pPr>
          </w:p>
        </w:tc>
        <w:tc>
          <w:tcPr>
            <w:tcW w:w="862" w:type="dxa"/>
            <w:tcBorders>
              <w:top w:val="single" w:sz="4" w:space="0" w:color="auto"/>
              <w:left w:val="nil"/>
              <w:bottom w:val="nil"/>
              <w:right w:val="single" w:sz="8" w:space="0" w:color="auto"/>
            </w:tcBorders>
            <w:shd w:val="clear" w:color="auto" w:fill="auto"/>
            <w:noWrap/>
            <w:vAlign w:val="center"/>
          </w:tcPr>
          <w:p w14:paraId="0DA54E8C" w14:textId="77777777" w:rsidR="00CA353F" w:rsidRDefault="00CA353F">
            <w:pPr>
              <w:ind w:firstLine="60"/>
              <w:jc w:val="center"/>
            </w:pPr>
          </w:p>
        </w:tc>
      </w:tr>
      <w:tr w:rsidR="00CA353F" w14:paraId="0DA54E97" w14:textId="77777777">
        <w:trPr>
          <w:trHeight w:val="240"/>
        </w:trPr>
        <w:tc>
          <w:tcPr>
            <w:tcW w:w="126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A54E8E" w14:textId="77777777" w:rsidR="00CA353F" w:rsidRDefault="002C3F58">
            <w:pPr>
              <w:jc w:val="center"/>
              <w:rPr>
                <w:i/>
                <w:iCs/>
              </w:rPr>
            </w:pPr>
            <w:r>
              <w:rPr>
                <w:i/>
                <w:iCs/>
              </w:rPr>
              <w:t>2.4.1.</w:t>
            </w:r>
          </w:p>
        </w:tc>
        <w:tc>
          <w:tcPr>
            <w:tcW w:w="6992" w:type="dxa"/>
            <w:tcBorders>
              <w:top w:val="single" w:sz="4" w:space="0" w:color="auto"/>
              <w:left w:val="nil"/>
              <w:bottom w:val="single" w:sz="4" w:space="0" w:color="auto"/>
              <w:right w:val="single" w:sz="8" w:space="0" w:color="auto"/>
            </w:tcBorders>
            <w:shd w:val="clear" w:color="auto" w:fill="auto"/>
            <w:noWrap/>
            <w:vAlign w:val="center"/>
          </w:tcPr>
          <w:p w14:paraId="0DA54E8F" w14:textId="77777777" w:rsidR="00CA353F" w:rsidRDefault="002C3F58">
            <w:pPr>
              <w:rPr>
                <w:i/>
                <w:iCs/>
              </w:rPr>
            </w:pPr>
            <w:r>
              <w:rPr>
                <w:i/>
                <w:iCs/>
              </w:rPr>
              <w:t>(išvardinti)</w:t>
            </w:r>
          </w:p>
        </w:tc>
        <w:tc>
          <w:tcPr>
            <w:tcW w:w="1012" w:type="dxa"/>
            <w:tcBorders>
              <w:top w:val="single" w:sz="4" w:space="0" w:color="auto"/>
              <w:left w:val="nil"/>
              <w:bottom w:val="single" w:sz="4" w:space="0" w:color="auto"/>
              <w:right w:val="single" w:sz="4" w:space="0" w:color="auto"/>
            </w:tcBorders>
            <w:shd w:val="clear" w:color="auto" w:fill="auto"/>
            <w:noWrap/>
            <w:vAlign w:val="center"/>
          </w:tcPr>
          <w:p w14:paraId="0DA54E90" w14:textId="77777777" w:rsidR="00CA353F" w:rsidRDefault="00CA353F">
            <w:pPr>
              <w:ind w:firstLine="60"/>
              <w:jc w:val="center"/>
              <w:rPr>
                <w:i/>
                <w:iCs/>
              </w:rPr>
            </w:pPr>
          </w:p>
        </w:tc>
        <w:tc>
          <w:tcPr>
            <w:tcW w:w="1012" w:type="dxa"/>
            <w:tcBorders>
              <w:top w:val="single" w:sz="4" w:space="0" w:color="auto"/>
              <w:left w:val="nil"/>
              <w:bottom w:val="single" w:sz="4" w:space="0" w:color="auto"/>
              <w:right w:val="single" w:sz="4" w:space="0" w:color="auto"/>
            </w:tcBorders>
            <w:shd w:val="clear" w:color="auto" w:fill="auto"/>
            <w:noWrap/>
            <w:vAlign w:val="center"/>
          </w:tcPr>
          <w:p w14:paraId="0DA54E91" w14:textId="77777777" w:rsidR="00CA353F" w:rsidRDefault="00CA353F">
            <w:pPr>
              <w:ind w:firstLine="60"/>
              <w:jc w:val="center"/>
              <w:rPr>
                <w:i/>
                <w:iCs/>
              </w:rPr>
            </w:pPr>
          </w:p>
        </w:tc>
        <w:tc>
          <w:tcPr>
            <w:tcW w:w="1013" w:type="dxa"/>
            <w:tcBorders>
              <w:top w:val="single" w:sz="4" w:space="0" w:color="auto"/>
              <w:left w:val="nil"/>
              <w:bottom w:val="single" w:sz="4" w:space="0" w:color="auto"/>
              <w:right w:val="single" w:sz="4" w:space="0" w:color="auto"/>
            </w:tcBorders>
            <w:shd w:val="clear" w:color="auto" w:fill="auto"/>
            <w:noWrap/>
            <w:vAlign w:val="center"/>
          </w:tcPr>
          <w:p w14:paraId="0DA54E92" w14:textId="77777777" w:rsidR="00CA353F" w:rsidRDefault="00CA353F">
            <w:pPr>
              <w:ind w:firstLine="60"/>
              <w:jc w:val="center"/>
              <w:rPr>
                <w:i/>
                <w:iCs/>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DA54E93" w14:textId="77777777" w:rsidR="00CA353F" w:rsidRDefault="00CA353F">
            <w:pPr>
              <w:ind w:firstLine="60"/>
              <w:jc w:val="center"/>
              <w:rPr>
                <w:i/>
                <w:iCs/>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DA54E94" w14:textId="77777777" w:rsidR="00CA353F" w:rsidRDefault="00CA353F">
            <w:pPr>
              <w:ind w:firstLine="60"/>
              <w:jc w:val="center"/>
              <w:rPr>
                <w:i/>
                <w:iCs/>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DA54E95" w14:textId="77777777" w:rsidR="00CA353F" w:rsidRDefault="00CA353F">
            <w:pPr>
              <w:ind w:firstLine="60"/>
              <w:jc w:val="center"/>
              <w:rPr>
                <w:i/>
                <w:iCs/>
              </w:rPr>
            </w:pPr>
          </w:p>
        </w:tc>
        <w:tc>
          <w:tcPr>
            <w:tcW w:w="862" w:type="dxa"/>
            <w:tcBorders>
              <w:top w:val="single" w:sz="4" w:space="0" w:color="auto"/>
              <w:left w:val="nil"/>
              <w:bottom w:val="single" w:sz="4" w:space="0" w:color="auto"/>
              <w:right w:val="single" w:sz="8" w:space="0" w:color="auto"/>
            </w:tcBorders>
            <w:shd w:val="clear" w:color="auto" w:fill="auto"/>
            <w:noWrap/>
            <w:vAlign w:val="center"/>
          </w:tcPr>
          <w:p w14:paraId="0DA54E96" w14:textId="77777777" w:rsidR="00CA353F" w:rsidRDefault="00CA353F">
            <w:pPr>
              <w:ind w:firstLine="60"/>
              <w:jc w:val="center"/>
              <w:rPr>
                <w:i/>
                <w:iCs/>
              </w:rPr>
            </w:pPr>
          </w:p>
        </w:tc>
      </w:tr>
      <w:tr w:rsidR="00CA353F" w14:paraId="0DA54EA1" w14:textId="77777777">
        <w:trPr>
          <w:trHeight w:val="255"/>
        </w:trPr>
        <w:tc>
          <w:tcPr>
            <w:tcW w:w="1263" w:type="dxa"/>
            <w:tcBorders>
              <w:top w:val="nil"/>
              <w:left w:val="single" w:sz="8" w:space="0" w:color="auto"/>
              <w:bottom w:val="single" w:sz="8" w:space="0" w:color="auto"/>
              <w:right w:val="single" w:sz="4" w:space="0" w:color="auto"/>
            </w:tcBorders>
            <w:shd w:val="clear" w:color="auto" w:fill="auto"/>
            <w:noWrap/>
            <w:vAlign w:val="center"/>
          </w:tcPr>
          <w:p w14:paraId="0DA54E98" w14:textId="77777777" w:rsidR="00CA353F" w:rsidRDefault="00CA353F">
            <w:pPr>
              <w:ind w:firstLine="60"/>
              <w:jc w:val="center"/>
              <w:rPr>
                <w:i/>
                <w:iCs/>
              </w:rPr>
            </w:pPr>
          </w:p>
        </w:tc>
        <w:tc>
          <w:tcPr>
            <w:tcW w:w="6992" w:type="dxa"/>
            <w:tcBorders>
              <w:top w:val="nil"/>
              <w:left w:val="nil"/>
              <w:bottom w:val="single" w:sz="8" w:space="0" w:color="auto"/>
              <w:right w:val="single" w:sz="8" w:space="0" w:color="auto"/>
            </w:tcBorders>
            <w:shd w:val="clear" w:color="auto" w:fill="auto"/>
            <w:noWrap/>
            <w:vAlign w:val="center"/>
          </w:tcPr>
          <w:p w14:paraId="0DA54E99" w14:textId="77777777" w:rsidR="00CA353F" w:rsidRDefault="00CA353F">
            <w:pPr>
              <w:ind w:firstLine="60"/>
              <w:rPr>
                <w:i/>
                <w:iCs/>
              </w:rPr>
            </w:pPr>
          </w:p>
        </w:tc>
        <w:tc>
          <w:tcPr>
            <w:tcW w:w="1012" w:type="dxa"/>
            <w:tcBorders>
              <w:top w:val="nil"/>
              <w:left w:val="nil"/>
              <w:bottom w:val="single" w:sz="8" w:space="0" w:color="auto"/>
              <w:right w:val="single" w:sz="4" w:space="0" w:color="auto"/>
            </w:tcBorders>
            <w:shd w:val="clear" w:color="auto" w:fill="auto"/>
            <w:noWrap/>
            <w:vAlign w:val="center"/>
          </w:tcPr>
          <w:p w14:paraId="0DA54E9A" w14:textId="77777777" w:rsidR="00CA353F" w:rsidRDefault="00CA353F">
            <w:pPr>
              <w:ind w:firstLine="60"/>
              <w:jc w:val="center"/>
              <w:rPr>
                <w:i/>
                <w:iCs/>
              </w:rPr>
            </w:pPr>
          </w:p>
        </w:tc>
        <w:tc>
          <w:tcPr>
            <w:tcW w:w="1012" w:type="dxa"/>
            <w:tcBorders>
              <w:top w:val="nil"/>
              <w:left w:val="nil"/>
              <w:bottom w:val="single" w:sz="8" w:space="0" w:color="auto"/>
              <w:right w:val="single" w:sz="4" w:space="0" w:color="auto"/>
            </w:tcBorders>
            <w:shd w:val="clear" w:color="auto" w:fill="auto"/>
            <w:noWrap/>
            <w:vAlign w:val="center"/>
          </w:tcPr>
          <w:p w14:paraId="0DA54E9B" w14:textId="77777777" w:rsidR="00CA353F" w:rsidRDefault="00CA353F">
            <w:pPr>
              <w:ind w:firstLine="60"/>
              <w:jc w:val="center"/>
              <w:rPr>
                <w:i/>
                <w:iCs/>
              </w:rPr>
            </w:pPr>
          </w:p>
        </w:tc>
        <w:tc>
          <w:tcPr>
            <w:tcW w:w="1013" w:type="dxa"/>
            <w:tcBorders>
              <w:top w:val="nil"/>
              <w:left w:val="nil"/>
              <w:bottom w:val="single" w:sz="8" w:space="0" w:color="auto"/>
              <w:right w:val="single" w:sz="4" w:space="0" w:color="auto"/>
            </w:tcBorders>
            <w:shd w:val="clear" w:color="auto" w:fill="auto"/>
            <w:noWrap/>
            <w:vAlign w:val="center"/>
          </w:tcPr>
          <w:p w14:paraId="0DA54E9C" w14:textId="77777777" w:rsidR="00CA353F" w:rsidRDefault="00CA353F">
            <w:pPr>
              <w:ind w:firstLine="60"/>
              <w:jc w:val="center"/>
              <w:rPr>
                <w:i/>
                <w:iCs/>
              </w:rPr>
            </w:pPr>
          </w:p>
        </w:tc>
        <w:tc>
          <w:tcPr>
            <w:tcW w:w="862" w:type="dxa"/>
            <w:tcBorders>
              <w:top w:val="nil"/>
              <w:left w:val="nil"/>
              <w:bottom w:val="single" w:sz="8" w:space="0" w:color="auto"/>
              <w:right w:val="single" w:sz="4" w:space="0" w:color="auto"/>
            </w:tcBorders>
            <w:shd w:val="clear" w:color="auto" w:fill="auto"/>
            <w:noWrap/>
            <w:vAlign w:val="center"/>
          </w:tcPr>
          <w:p w14:paraId="0DA54E9D" w14:textId="77777777" w:rsidR="00CA353F" w:rsidRDefault="00CA353F">
            <w:pPr>
              <w:ind w:firstLine="60"/>
              <w:jc w:val="center"/>
              <w:rPr>
                <w:i/>
                <w:iCs/>
              </w:rPr>
            </w:pPr>
          </w:p>
        </w:tc>
        <w:tc>
          <w:tcPr>
            <w:tcW w:w="862" w:type="dxa"/>
            <w:tcBorders>
              <w:top w:val="nil"/>
              <w:left w:val="nil"/>
              <w:bottom w:val="single" w:sz="8" w:space="0" w:color="auto"/>
              <w:right w:val="single" w:sz="4" w:space="0" w:color="auto"/>
            </w:tcBorders>
            <w:shd w:val="clear" w:color="auto" w:fill="auto"/>
            <w:noWrap/>
            <w:vAlign w:val="center"/>
          </w:tcPr>
          <w:p w14:paraId="0DA54E9E" w14:textId="77777777" w:rsidR="00CA353F" w:rsidRDefault="00CA353F">
            <w:pPr>
              <w:ind w:firstLine="60"/>
              <w:jc w:val="center"/>
              <w:rPr>
                <w:i/>
                <w:iCs/>
              </w:rPr>
            </w:pPr>
          </w:p>
        </w:tc>
        <w:tc>
          <w:tcPr>
            <w:tcW w:w="862" w:type="dxa"/>
            <w:tcBorders>
              <w:top w:val="nil"/>
              <w:left w:val="nil"/>
              <w:bottom w:val="single" w:sz="8" w:space="0" w:color="auto"/>
              <w:right w:val="single" w:sz="4" w:space="0" w:color="auto"/>
            </w:tcBorders>
            <w:shd w:val="clear" w:color="auto" w:fill="auto"/>
            <w:noWrap/>
            <w:vAlign w:val="center"/>
          </w:tcPr>
          <w:p w14:paraId="0DA54E9F" w14:textId="77777777" w:rsidR="00CA353F" w:rsidRDefault="00CA353F">
            <w:pPr>
              <w:ind w:firstLine="60"/>
              <w:jc w:val="center"/>
              <w:rPr>
                <w:i/>
                <w:iCs/>
              </w:rPr>
            </w:pPr>
          </w:p>
        </w:tc>
        <w:tc>
          <w:tcPr>
            <w:tcW w:w="862" w:type="dxa"/>
            <w:tcBorders>
              <w:top w:val="nil"/>
              <w:left w:val="nil"/>
              <w:bottom w:val="single" w:sz="8" w:space="0" w:color="auto"/>
              <w:right w:val="single" w:sz="8" w:space="0" w:color="auto"/>
            </w:tcBorders>
            <w:shd w:val="clear" w:color="auto" w:fill="auto"/>
            <w:noWrap/>
            <w:vAlign w:val="center"/>
          </w:tcPr>
          <w:p w14:paraId="0DA54EA0" w14:textId="77777777" w:rsidR="00CA353F" w:rsidRDefault="00CA353F">
            <w:pPr>
              <w:ind w:firstLine="60"/>
              <w:jc w:val="center"/>
              <w:rPr>
                <w:i/>
                <w:iCs/>
              </w:rPr>
            </w:pPr>
          </w:p>
        </w:tc>
      </w:tr>
    </w:tbl>
    <w:p w14:paraId="0DA54EA2" w14:textId="0C6D0AF3" w:rsidR="00CA353F" w:rsidRDefault="00CA353F">
      <w:pPr>
        <w:rPr>
          <w:sz w:val="6"/>
          <w:szCs w:val="6"/>
        </w:rPr>
      </w:pPr>
    </w:p>
    <w:p w14:paraId="0DA54EA3" w14:textId="37FE0134" w:rsidR="00CA353F" w:rsidRDefault="002C3F58">
      <w:pPr>
        <w:tabs>
          <w:tab w:val="left" w:pos="6992"/>
          <w:tab w:val="left" w:pos="8004"/>
          <w:tab w:val="left" w:pos="9016"/>
          <w:tab w:val="left" w:pos="10029"/>
          <w:tab w:val="left" w:pos="10891"/>
          <w:tab w:val="left" w:pos="11753"/>
        </w:tabs>
        <w:ind w:firstLine="567"/>
        <w:jc w:val="both"/>
      </w:pPr>
      <w:r>
        <w:rPr>
          <w:b/>
          <w:bCs/>
        </w:rPr>
        <w:t>Pastabos:</w:t>
      </w:r>
    </w:p>
    <w:p w14:paraId="0DA54EA4" w14:textId="0E2E0FF3" w:rsidR="00CA353F" w:rsidRDefault="002C3F58">
      <w:pPr>
        <w:tabs>
          <w:tab w:val="left" w:pos="10029"/>
          <w:tab w:val="left" w:pos="10891"/>
          <w:tab w:val="left" w:pos="11753"/>
        </w:tabs>
        <w:ind w:firstLine="567"/>
        <w:jc w:val="both"/>
      </w:pPr>
      <w:r>
        <w:t>1. Duomenys pateikiami už praėjusio kainų reguliavimo periodo dvejus paskutinius metus ir planuojamą 5 metų laikotarpį.</w:t>
      </w:r>
    </w:p>
    <w:p w14:paraId="0DA54EA5" w14:textId="1DF6CBEE" w:rsidR="00CA353F" w:rsidRDefault="002C3F58">
      <w:pPr>
        <w:tabs>
          <w:tab w:val="left" w:pos="8004"/>
          <w:tab w:val="left" w:pos="9016"/>
          <w:tab w:val="left" w:pos="10029"/>
          <w:tab w:val="left" w:pos="10891"/>
          <w:tab w:val="left" w:pos="11753"/>
        </w:tabs>
        <w:ind w:firstLine="567"/>
        <w:jc w:val="both"/>
      </w:pPr>
      <w:r>
        <w:t>2. Dujų įmonė savo nuožiūra gali papildyti lentelę įrašais, patikslinančiais rodiklių dydžius.</w:t>
      </w:r>
    </w:p>
    <w:p w14:paraId="0DA54EA6" w14:textId="4CF75F7A" w:rsidR="00CA353F" w:rsidRDefault="002C3F58">
      <w:pPr>
        <w:ind w:firstLine="567"/>
        <w:jc w:val="both"/>
      </w:pPr>
      <w:r>
        <w:t>3. Lentelės eilutėse ties žodžiu „išvardinti" turi būti išvardintos konkrečios priemonės (su trumpu jų apibūdinimu), o jei jos nedetalizuojamos – apibendrintas investavimo objektas).</w:t>
      </w:r>
    </w:p>
    <w:p w14:paraId="0DA54EA7" w14:textId="77777777" w:rsidR="00CA353F" w:rsidRDefault="002C3F58">
      <w:pPr>
        <w:tabs>
          <w:tab w:val="left" w:pos="8004"/>
          <w:tab w:val="left" w:pos="9016"/>
          <w:tab w:val="left" w:pos="10029"/>
          <w:tab w:val="left" w:pos="10891"/>
          <w:tab w:val="left" w:pos="11753"/>
        </w:tabs>
        <w:ind w:firstLine="567"/>
        <w:jc w:val="both"/>
      </w:pPr>
      <w:r>
        <w:t>Būtina išvardinti lėšų panaudojimo šaltinius, kuriems naudojamų lėšų sumos yra didesnės.</w:t>
      </w:r>
    </w:p>
    <w:p w14:paraId="0DA54EA8" w14:textId="77777777" w:rsidR="00CA353F" w:rsidRDefault="00CA353F">
      <w:pPr>
        <w:rPr>
          <w:sz w:val="6"/>
          <w:szCs w:val="6"/>
        </w:rPr>
      </w:pPr>
    </w:p>
    <w:tbl>
      <w:tblPr>
        <w:tblW w:w="14740" w:type="dxa"/>
        <w:tblLook w:val="0000" w:firstRow="0" w:lastRow="0" w:firstColumn="0" w:lastColumn="0" w:noHBand="0" w:noVBand="0"/>
      </w:tblPr>
      <w:tblGrid>
        <w:gridCol w:w="8763"/>
        <w:gridCol w:w="2330"/>
        <w:gridCol w:w="3647"/>
      </w:tblGrid>
      <w:tr w:rsidR="00CA353F" w14:paraId="0DA54EAF" w14:textId="77777777">
        <w:trPr>
          <w:trHeight w:val="240"/>
        </w:trPr>
        <w:tc>
          <w:tcPr>
            <w:tcW w:w="6920" w:type="dxa"/>
            <w:tcBorders>
              <w:top w:val="nil"/>
              <w:left w:val="nil"/>
              <w:bottom w:val="nil"/>
              <w:right w:val="nil"/>
            </w:tcBorders>
            <w:shd w:val="clear" w:color="auto" w:fill="auto"/>
            <w:noWrap/>
            <w:vAlign w:val="bottom"/>
          </w:tcPr>
          <w:p w14:paraId="0DA54EA9" w14:textId="77777777" w:rsidR="00CA353F" w:rsidRDefault="002C3F58">
            <w:pPr>
              <w:jc w:val="center"/>
            </w:pPr>
            <w:r>
              <w:t>_______________</w:t>
            </w:r>
          </w:p>
          <w:p w14:paraId="0DA54EAA" w14:textId="77777777" w:rsidR="00CA353F" w:rsidRDefault="002C3F58">
            <w:pPr>
              <w:jc w:val="center"/>
            </w:pPr>
            <w:r>
              <w:t>(pareigų pavadinimas)</w:t>
            </w:r>
          </w:p>
        </w:tc>
        <w:tc>
          <w:tcPr>
            <w:tcW w:w="1840" w:type="dxa"/>
            <w:tcBorders>
              <w:top w:val="nil"/>
              <w:left w:val="nil"/>
              <w:bottom w:val="nil"/>
              <w:right w:val="nil"/>
            </w:tcBorders>
            <w:shd w:val="clear" w:color="auto" w:fill="auto"/>
            <w:noWrap/>
            <w:vAlign w:val="bottom"/>
          </w:tcPr>
          <w:p w14:paraId="0DA54EAB" w14:textId="77777777" w:rsidR="00CA353F" w:rsidRDefault="002C3F58">
            <w:pPr>
              <w:jc w:val="center"/>
            </w:pPr>
            <w:r>
              <w:t>_________</w:t>
            </w:r>
          </w:p>
          <w:p w14:paraId="0DA54EAC" w14:textId="77777777" w:rsidR="00CA353F" w:rsidRDefault="002C3F58">
            <w:pPr>
              <w:jc w:val="center"/>
            </w:pPr>
            <w:r>
              <w:t>(parašas)</w:t>
            </w:r>
          </w:p>
        </w:tc>
        <w:tc>
          <w:tcPr>
            <w:tcW w:w="2880" w:type="dxa"/>
            <w:tcBorders>
              <w:top w:val="nil"/>
              <w:left w:val="nil"/>
              <w:bottom w:val="nil"/>
              <w:right w:val="nil"/>
            </w:tcBorders>
            <w:shd w:val="clear" w:color="auto" w:fill="auto"/>
            <w:noWrap/>
            <w:vAlign w:val="bottom"/>
          </w:tcPr>
          <w:p w14:paraId="0DA54EAD" w14:textId="77777777" w:rsidR="00CA353F" w:rsidRDefault="002C3F58">
            <w:pPr>
              <w:jc w:val="center"/>
            </w:pPr>
            <w:r>
              <w:t>_______________</w:t>
            </w:r>
          </w:p>
          <w:p w14:paraId="0DA54EAE" w14:textId="77777777" w:rsidR="00CA353F" w:rsidRDefault="002C3F58">
            <w:pPr>
              <w:jc w:val="center"/>
            </w:pPr>
            <w:r>
              <w:t>(vardas ir pavardė)</w:t>
            </w:r>
          </w:p>
        </w:tc>
      </w:tr>
    </w:tbl>
    <w:p w14:paraId="0DA54EB0" w14:textId="7C127FE2" w:rsidR="00CA353F" w:rsidRDefault="00CA353F"/>
    <w:p w14:paraId="0DA54EB1" w14:textId="22CAE1FB" w:rsidR="00CA353F" w:rsidRDefault="002C3F58">
      <w:pPr>
        <w:jc w:val="center"/>
      </w:pPr>
      <w:r>
        <w:t>_________________</w:t>
      </w:r>
    </w:p>
    <w:p w14:paraId="0DA54EB2" w14:textId="2C971E72" w:rsidR="00CA353F" w:rsidRDefault="00CA353F">
      <w:pPr>
        <w:ind w:firstLine="567"/>
        <w:jc w:val="both"/>
      </w:pPr>
    </w:p>
    <w:p w14:paraId="0DA54EB3" w14:textId="50DC9E08" w:rsidR="00CA353F" w:rsidRDefault="00CA353F">
      <w:pPr>
        <w:ind w:firstLine="567"/>
        <w:jc w:val="both"/>
        <w:sectPr w:rsidR="00CA353F">
          <w:pgSz w:w="16840" w:h="11907" w:orient="landscape" w:code="9"/>
          <w:pgMar w:top="1701" w:right="1134" w:bottom="1134" w:left="1134" w:header="567" w:footer="284" w:gutter="0"/>
          <w:cols w:space="1296"/>
          <w:docGrid w:linePitch="360"/>
        </w:sectPr>
      </w:pPr>
    </w:p>
    <w:p w14:paraId="0DA54EB4" w14:textId="28A06E01" w:rsidR="00CA353F" w:rsidRDefault="002C3F58">
      <w:pPr>
        <w:tabs>
          <w:tab w:val="left" w:pos="868"/>
          <w:tab w:val="left" w:pos="7788"/>
          <w:tab w:val="left" w:pos="8748"/>
          <w:tab w:val="left" w:pos="9708"/>
          <w:tab w:val="left" w:pos="10668"/>
          <w:tab w:val="left" w:pos="11628"/>
          <w:tab w:val="left" w:pos="12588"/>
          <w:tab w:val="left" w:pos="13468"/>
          <w:tab w:val="left" w:pos="14428"/>
          <w:tab w:val="left" w:pos="15388"/>
          <w:tab w:val="left" w:pos="16348"/>
          <w:tab w:val="left" w:pos="17308"/>
          <w:tab w:val="left" w:pos="18268"/>
          <w:tab w:val="left" w:pos="19228"/>
        </w:tabs>
        <w:ind w:firstLine="5102"/>
      </w:pPr>
      <w:r>
        <w:lastRenderedPageBreak/>
        <w:t>Gamtinių dujų tiekimo kainų</w:t>
      </w:r>
    </w:p>
    <w:p w14:paraId="0DA54EB5" w14:textId="77777777" w:rsidR="00CA353F" w:rsidRDefault="002C3F58">
      <w:pPr>
        <w:tabs>
          <w:tab w:val="left" w:pos="868"/>
          <w:tab w:val="left" w:pos="7788"/>
          <w:tab w:val="left" w:pos="8748"/>
          <w:tab w:val="left" w:pos="9708"/>
          <w:tab w:val="left" w:pos="10668"/>
          <w:tab w:val="left" w:pos="11628"/>
          <w:tab w:val="left" w:pos="12588"/>
          <w:tab w:val="left" w:pos="13468"/>
          <w:tab w:val="left" w:pos="14428"/>
          <w:tab w:val="left" w:pos="15388"/>
          <w:tab w:val="left" w:pos="16348"/>
          <w:tab w:val="left" w:pos="17308"/>
          <w:tab w:val="left" w:pos="18268"/>
          <w:tab w:val="left" w:pos="19228"/>
        </w:tabs>
        <w:ind w:firstLine="5102"/>
      </w:pPr>
      <w:r>
        <w:t xml:space="preserve">viršutinių ribų skaičiavimo metodikos </w:t>
      </w:r>
    </w:p>
    <w:p w14:paraId="0DA54EB6" w14:textId="2BAD1568" w:rsidR="00CA353F" w:rsidRDefault="002C3F58">
      <w:pPr>
        <w:tabs>
          <w:tab w:val="left" w:pos="868"/>
          <w:tab w:val="left" w:pos="7788"/>
          <w:tab w:val="left" w:pos="8748"/>
          <w:tab w:val="left" w:pos="9708"/>
          <w:tab w:val="left" w:pos="10668"/>
          <w:tab w:val="left" w:pos="11628"/>
          <w:tab w:val="left" w:pos="12588"/>
          <w:tab w:val="left" w:pos="13468"/>
          <w:tab w:val="left" w:pos="14428"/>
          <w:tab w:val="left" w:pos="15388"/>
          <w:tab w:val="left" w:pos="16348"/>
          <w:tab w:val="left" w:pos="17308"/>
          <w:tab w:val="left" w:pos="18268"/>
          <w:tab w:val="left" w:pos="19228"/>
          <w:tab w:val="left" w:pos="22539"/>
          <w:tab w:val="left" w:pos="22815"/>
          <w:tab w:val="left" w:pos="23091"/>
        </w:tabs>
        <w:ind w:firstLine="5102"/>
      </w:pPr>
      <w:r>
        <w:t>3 priedas</w:t>
      </w:r>
    </w:p>
    <w:p w14:paraId="0DA54EB7" w14:textId="77777777" w:rsidR="00CA353F" w:rsidRDefault="00CA353F">
      <w:pPr>
        <w:tabs>
          <w:tab w:val="left" w:pos="868"/>
          <w:tab w:val="left" w:pos="7788"/>
          <w:tab w:val="left" w:pos="8748"/>
          <w:tab w:val="left" w:pos="9708"/>
          <w:tab w:val="left" w:pos="10668"/>
          <w:tab w:val="left" w:pos="11628"/>
          <w:tab w:val="left" w:pos="12588"/>
          <w:tab w:val="left" w:pos="13468"/>
          <w:tab w:val="left" w:pos="14428"/>
          <w:tab w:val="left" w:pos="15388"/>
          <w:tab w:val="left" w:pos="16348"/>
          <w:tab w:val="left" w:pos="17308"/>
          <w:tab w:val="left" w:pos="18268"/>
          <w:tab w:val="left" w:pos="19228"/>
          <w:tab w:val="left" w:pos="22539"/>
          <w:tab w:val="left" w:pos="22815"/>
          <w:tab w:val="left" w:pos="23091"/>
        </w:tabs>
        <w:jc w:val="center"/>
      </w:pPr>
    </w:p>
    <w:p w14:paraId="0DA54EB8" w14:textId="181B3A73" w:rsidR="00CA353F" w:rsidRDefault="002C3F58">
      <w:pPr>
        <w:jc w:val="center"/>
        <w:rPr>
          <w:b/>
          <w:bCs/>
        </w:rPr>
      </w:pPr>
      <w:r>
        <w:rPr>
          <w:b/>
          <w:bCs/>
        </w:rPr>
        <w:t>(Dujų įmonės tiekimo veikloje naudojamo turto vertės skaičiavimo lentelės forma)</w:t>
      </w:r>
    </w:p>
    <w:p w14:paraId="0DA54EB9" w14:textId="77777777" w:rsidR="00CA353F" w:rsidRDefault="002C3F58">
      <w:pPr>
        <w:tabs>
          <w:tab w:val="left" w:pos="868"/>
          <w:tab w:val="left" w:pos="7788"/>
          <w:tab w:val="left" w:pos="8748"/>
          <w:tab w:val="left" w:pos="9708"/>
          <w:tab w:val="left" w:pos="12588"/>
          <w:tab w:val="left" w:pos="13468"/>
          <w:tab w:val="left" w:pos="14428"/>
          <w:tab w:val="left" w:pos="15388"/>
          <w:tab w:val="left" w:pos="16348"/>
          <w:tab w:val="left" w:pos="17308"/>
          <w:tab w:val="left" w:pos="18268"/>
          <w:tab w:val="left" w:pos="19228"/>
          <w:tab w:val="left" w:pos="22539"/>
          <w:tab w:val="left" w:pos="22815"/>
          <w:tab w:val="left" w:pos="23091"/>
        </w:tabs>
        <w:jc w:val="center"/>
      </w:pPr>
      <w:r>
        <w:t>_______________________________</w:t>
      </w:r>
    </w:p>
    <w:p w14:paraId="0DA54EBA" w14:textId="77777777" w:rsidR="00CA353F" w:rsidRDefault="002C3F58">
      <w:pPr>
        <w:tabs>
          <w:tab w:val="left" w:pos="868"/>
          <w:tab w:val="left" w:pos="7788"/>
          <w:tab w:val="left" w:pos="8748"/>
          <w:tab w:val="left" w:pos="9708"/>
          <w:tab w:val="left" w:pos="12588"/>
          <w:tab w:val="left" w:pos="13468"/>
          <w:tab w:val="left" w:pos="14428"/>
          <w:tab w:val="left" w:pos="15388"/>
          <w:tab w:val="left" w:pos="16348"/>
          <w:tab w:val="left" w:pos="17308"/>
          <w:tab w:val="left" w:pos="18268"/>
          <w:tab w:val="left" w:pos="19228"/>
          <w:tab w:val="left" w:pos="22539"/>
          <w:tab w:val="left" w:pos="22815"/>
          <w:tab w:val="left" w:pos="23091"/>
        </w:tabs>
        <w:jc w:val="center"/>
      </w:pPr>
      <w:r>
        <w:t>(įmonės pavadinimas)</w:t>
      </w:r>
    </w:p>
    <w:p w14:paraId="0DA54EBB" w14:textId="77777777" w:rsidR="00CA353F" w:rsidRDefault="002C3F58">
      <w:pPr>
        <w:tabs>
          <w:tab w:val="left" w:pos="868"/>
          <w:tab w:val="left" w:pos="7788"/>
          <w:tab w:val="left" w:pos="8748"/>
          <w:tab w:val="left" w:pos="9708"/>
          <w:tab w:val="left" w:pos="12588"/>
          <w:tab w:val="left" w:pos="13468"/>
          <w:tab w:val="left" w:pos="14428"/>
          <w:tab w:val="left" w:pos="15388"/>
          <w:tab w:val="left" w:pos="16348"/>
          <w:tab w:val="left" w:pos="17308"/>
          <w:tab w:val="left" w:pos="18268"/>
          <w:tab w:val="left" w:pos="19228"/>
          <w:tab w:val="left" w:pos="22539"/>
          <w:tab w:val="left" w:pos="22815"/>
          <w:tab w:val="left" w:pos="23091"/>
        </w:tabs>
        <w:jc w:val="center"/>
      </w:pPr>
      <w:r>
        <w:t>_____________________________________</w:t>
      </w:r>
    </w:p>
    <w:p w14:paraId="0DA54EBC" w14:textId="77777777" w:rsidR="00CA353F" w:rsidRDefault="002C3F58">
      <w:pPr>
        <w:jc w:val="center"/>
      </w:pPr>
      <w:r>
        <w:t>(įmonės teisinė forma, buveinės adresas, telefonas, faksas, el. paštas, registro, kuriame kaupiami ir saugomi duomenys, pavadinimas, įmonės kodas, PVM mokėtojo kodas)</w:t>
      </w:r>
    </w:p>
    <w:p w14:paraId="0DA54EBD" w14:textId="77777777" w:rsidR="00CA353F" w:rsidRDefault="00CA353F">
      <w:pPr>
        <w:jc w:val="center"/>
      </w:pPr>
    </w:p>
    <w:p w14:paraId="0DA54EBE" w14:textId="4EC2F8DC" w:rsidR="00CA353F" w:rsidRDefault="002C3F58">
      <w:pPr>
        <w:jc w:val="center"/>
        <w:rPr>
          <w:b/>
          <w:bCs/>
        </w:rPr>
      </w:pPr>
      <w:r>
        <w:rPr>
          <w:b/>
          <w:bCs/>
        </w:rPr>
        <w:t>DUJŲ ĮMONĖS TIEKIMO VEIKLOJE NAUDOJAMO TURTO VERTĖS SKAIČIAVIMO LENTELĖ</w:t>
      </w:r>
    </w:p>
    <w:p w14:paraId="0DA54EBF" w14:textId="77777777" w:rsidR="00CA353F" w:rsidRDefault="00CA353F">
      <w:pPr>
        <w:ind w:firstLine="567"/>
        <w:jc w:val="both"/>
      </w:pPr>
    </w:p>
    <w:p w14:paraId="0DA54EC0" w14:textId="77777777" w:rsidR="00CA353F" w:rsidRDefault="002C3F58">
      <w:pPr>
        <w:ind w:firstLine="567"/>
        <w:jc w:val="both"/>
      </w:pPr>
      <w:r>
        <w:t>tūkst. Lt</w:t>
      </w:r>
    </w:p>
    <w:tbl>
      <w:tblPr>
        <w:tblW w:w="9228" w:type="dxa"/>
        <w:tblLook w:val="0000" w:firstRow="0" w:lastRow="0" w:firstColumn="0" w:lastColumn="0" w:noHBand="0" w:noVBand="0"/>
      </w:tblPr>
      <w:tblGrid>
        <w:gridCol w:w="765"/>
        <w:gridCol w:w="1510"/>
        <w:gridCol w:w="963"/>
        <w:gridCol w:w="976"/>
        <w:gridCol w:w="1270"/>
        <w:gridCol w:w="1550"/>
        <w:gridCol w:w="1156"/>
        <w:gridCol w:w="1038"/>
      </w:tblGrid>
      <w:tr w:rsidR="00CA353F" w14:paraId="0DA54EC4" w14:textId="77777777">
        <w:trPr>
          <w:trHeight w:val="270"/>
        </w:trPr>
        <w:tc>
          <w:tcPr>
            <w:tcW w:w="765" w:type="dxa"/>
            <w:vMerge w:val="restart"/>
            <w:tcBorders>
              <w:top w:val="single" w:sz="8" w:space="0" w:color="auto"/>
              <w:left w:val="single" w:sz="8" w:space="0" w:color="auto"/>
              <w:right w:val="single" w:sz="8" w:space="0" w:color="auto"/>
            </w:tcBorders>
            <w:shd w:val="clear" w:color="auto" w:fill="auto"/>
            <w:noWrap/>
            <w:vAlign w:val="center"/>
          </w:tcPr>
          <w:p w14:paraId="0DA54EC1" w14:textId="77777777" w:rsidR="00CA353F" w:rsidRDefault="002C3F58">
            <w:pPr>
              <w:jc w:val="center"/>
            </w:pPr>
            <w:r>
              <w:t>Eil. Nr.</w:t>
            </w:r>
          </w:p>
        </w:tc>
        <w:tc>
          <w:tcPr>
            <w:tcW w:w="1510" w:type="dxa"/>
            <w:vMerge w:val="restart"/>
            <w:tcBorders>
              <w:top w:val="single" w:sz="8" w:space="0" w:color="auto"/>
              <w:left w:val="nil"/>
              <w:right w:val="single" w:sz="8" w:space="0" w:color="auto"/>
            </w:tcBorders>
            <w:shd w:val="clear" w:color="auto" w:fill="auto"/>
            <w:noWrap/>
            <w:vAlign w:val="center"/>
          </w:tcPr>
          <w:p w14:paraId="0DA54EC2" w14:textId="77777777" w:rsidR="00CA353F" w:rsidRDefault="002C3F58">
            <w:pPr>
              <w:jc w:val="center"/>
            </w:pPr>
            <w:r>
              <w:t>Rodiklis</w:t>
            </w:r>
          </w:p>
        </w:tc>
        <w:tc>
          <w:tcPr>
            <w:tcW w:w="6953" w:type="dxa"/>
            <w:gridSpan w:val="6"/>
            <w:tcBorders>
              <w:top w:val="single" w:sz="8" w:space="0" w:color="auto"/>
              <w:left w:val="nil"/>
              <w:bottom w:val="single" w:sz="8" w:space="0" w:color="auto"/>
              <w:right w:val="single" w:sz="8" w:space="0" w:color="000000"/>
            </w:tcBorders>
            <w:shd w:val="clear" w:color="auto" w:fill="auto"/>
            <w:noWrap/>
            <w:vAlign w:val="center"/>
          </w:tcPr>
          <w:p w14:paraId="0DA54EC3" w14:textId="77777777" w:rsidR="00CA353F" w:rsidRDefault="002C3F58">
            <w:pPr>
              <w:jc w:val="center"/>
            </w:pPr>
            <w:r>
              <w:t>Ilgalaikio turto grupės</w:t>
            </w:r>
          </w:p>
        </w:tc>
      </w:tr>
      <w:tr w:rsidR="00CA353F" w14:paraId="0DA54ECC" w14:textId="77777777">
        <w:trPr>
          <w:trHeight w:val="255"/>
        </w:trPr>
        <w:tc>
          <w:tcPr>
            <w:tcW w:w="765" w:type="dxa"/>
            <w:vMerge/>
            <w:tcBorders>
              <w:left w:val="single" w:sz="8" w:space="0" w:color="auto"/>
              <w:right w:val="single" w:sz="8" w:space="0" w:color="auto"/>
            </w:tcBorders>
            <w:shd w:val="clear" w:color="auto" w:fill="auto"/>
            <w:noWrap/>
            <w:vAlign w:val="center"/>
          </w:tcPr>
          <w:p w14:paraId="0DA54EC5" w14:textId="77777777" w:rsidR="00CA353F" w:rsidRDefault="00CA353F">
            <w:pPr>
              <w:jc w:val="center"/>
            </w:pPr>
          </w:p>
        </w:tc>
        <w:tc>
          <w:tcPr>
            <w:tcW w:w="1510" w:type="dxa"/>
            <w:vMerge/>
            <w:tcBorders>
              <w:left w:val="nil"/>
              <w:right w:val="single" w:sz="8" w:space="0" w:color="auto"/>
            </w:tcBorders>
            <w:shd w:val="clear" w:color="auto" w:fill="auto"/>
            <w:noWrap/>
            <w:vAlign w:val="center"/>
          </w:tcPr>
          <w:p w14:paraId="0DA54EC6" w14:textId="77777777" w:rsidR="00CA353F" w:rsidRDefault="00CA353F">
            <w:pPr>
              <w:jc w:val="center"/>
            </w:pPr>
          </w:p>
        </w:tc>
        <w:tc>
          <w:tcPr>
            <w:tcW w:w="1939" w:type="dxa"/>
            <w:gridSpan w:val="2"/>
            <w:tcBorders>
              <w:top w:val="single" w:sz="8" w:space="0" w:color="auto"/>
              <w:left w:val="nil"/>
              <w:bottom w:val="single" w:sz="4" w:space="0" w:color="auto"/>
              <w:right w:val="single" w:sz="4" w:space="0" w:color="000000"/>
            </w:tcBorders>
            <w:shd w:val="clear" w:color="auto" w:fill="auto"/>
            <w:noWrap/>
            <w:vAlign w:val="center"/>
          </w:tcPr>
          <w:p w14:paraId="0DA54EC7" w14:textId="77777777" w:rsidR="00CA353F" w:rsidRDefault="002C3F58">
            <w:pPr>
              <w:jc w:val="center"/>
            </w:pPr>
            <w:r>
              <w:t>Pastatai ir statiniai</w:t>
            </w:r>
          </w:p>
        </w:tc>
        <w:tc>
          <w:tcPr>
            <w:tcW w:w="1270" w:type="dxa"/>
            <w:vMerge w:val="restart"/>
            <w:tcBorders>
              <w:top w:val="nil"/>
              <w:left w:val="nil"/>
              <w:right w:val="single" w:sz="4" w:space="0" w:color="auto"/>
            </w:tcBorders>
            <w:shd w:val="clear" w:color="auto" w:fill="auto"/>
            <w:noWrap/>
            <w:vAlign w:val="center"/>
          </w:tcPr>
          <w:p w14:paraId="0DA54EC8" w14:textId="77777777" w:rsidR="00CA353F" w:rsidRDefault="002C3F58">
            <w:pPr>
              <w:jc w:val="center"/>
            </w:pPr>
            <w:r>
              <w:t>Transporto priemonės</w:t>
            </w:r>
          </w:p>
        </w:tc>
        <w:tc>
          <w:tcPr>
            <w:tcW w:w="1550" w:type="dxa"/>
            <w:vMerge w:val="restart"/>
            <w:tcBorders>
              <w:top w:val="nil"/>
              <w:left w:val="nil"/>
              <w:right w:val="single" w:sz="4" w:space="0" w:color="auto"/>
            </w:tcBorders>
            <w:shd w:val="clear" w:color="auto" w:fill="auto"/>
            <w:noWrap/>
            <w:vAlign w:val="center"/>
          </w:tcPr>
          <w:p w14:paraId="0DA54EC9" w14:textId="77777777" w:rsidR="00CA353F" w:rsidRDefault="002C3F58">
            <w:pPr>
              <w:jc w:val="center"/>
            </w:pPr>
            <w:r>
              <w:t>Kompiuterinė ir programinė įranga</w:t>
            </w:r>
          </w:p>
        </w:tc>
        <w:tc>
          <w:tcPr>
            <w:tcW w:w="1156" w:type="dxa"/>
            <w:vMerge w:val="restart"/>
            <w:tcBorders>
              <w:top w:val="nil"/>
              <w:left w:val="nil"/>
              <w:right w:val="single" w:sz="8" w:space="0" w:color="auto"/>
            </w:tcBorders>
            <w:shd w:val="clear" w:color="auto" w:fill="auto"/>
            <w:noWrap/>
            <w:vAlign w:val="center"/>
          </w:tcPr>
          <w:p w14:paraId="0DA54ECA" w14:textId="77777777" w:rsidR="00CA353F" w:rsidRDefault="002C3F58">
            <w:pPr>
              <w:jc w:val="center"/>
            </w:pPr>
            <w:r>
              <w:t>Kita įranga, prietaisai, įrenginiai</w:t>
            </w:r>
          </w:p>
        </w:tc>
        <w:tc>
          <w:tcPr>
            <w:tcW w:w="1038" w:type="dxa"/>
            <w:vMerge w:val="restart"/>
            <w:tcBorders>
              <w:top w:val="nil"/>
              <w:left w:val="nil"/>
              <w:right w:val="single" w:sz="8" w:space="0" w:color="auto"/>
            </w:tcBorders>
            <w:shd w:val="clear" w:color="auto" w:fill="auto"/>
            <w:noWrap/>
            <w:vAlign w:val="center"/>
          </w:tcPr>
          <w:p w14:paraId="0DA54ECB" w14:textId="77777777" w:rsidR="00CA353F" w:rsidRDefault="002C3F58">
            <w:pPr>
              <w:jc w:val="center"/>
            </w:pPr>
            <w:r>
              <w:t>Iš viso</w:t>
            </w:r>
          </w:p>
        </w:tc>
      </w:tr>
      <w:tr w:rsidR="00CA353F" w14:paraId="0DA54ED5" w14:textId="77777777">
        <w:trPr>
          <w:trHeight w:val="325"/>
        </w:trPr>
        <w:tc>
          <w:tcPr>
            <w:tcW w:w="765" w:type="dxa"/>
            <w:vMerge/>
            <w:tcBorders>
              <w:left w:val="single" w:sz="8" w:space="0" w:color="auto"/>
              <w:bottom w:val="single" w:sz="8" w:space="0" w:color="auto"/>
              <w:right w:val="single" w:sz="8" w:space="0" w:color="auto"/>
            </w:tcBorders>
            <w:shd w:val="clear" w:color="auto" w:fill="auto"/>
            <w:noWrap/>
            <w:vAlign w:val="center"/>
          </w:tcPr>
          <w:p w14:paraId="0DA54ECD" w14:textId="77777777" w:rsidR="00CA353F" w:rsidRDefault="00CA353F">
            <w:pPr>
              <w:jc w:val="center"/>
            </w:pPr>
          </w:p>
        </w:tc>
        <w:tc>
          <w:tcPr>
            <w:tcW w:w="1510" w:type="dxa"/>
            <w:vMerge/>
            <w:tcBorders>
              <w:left w:val="nil"/>
              <w:bottom w:val="single" w:sz="8" w:space="0" w:color="auto"/>
              <w:right w:val="single" w:sz="8" w:space="0" w:color="auto"/>
            </w:tcBorders>
            <w:shd w:val="clear" w:color="auto" w:fill="auto"/>
            <w:noWrap/>
            <w:vAlign w:val="center"/>
          </w:tcPr>
          <w:p w14:paraId="0DA54ECE" w14:textId="77777777" w:rsidR="00CA353F" w:rsidRDefault="00CA353F">
            <w:pPr>
              <w:jc w:val="center"/>
            </w:pPr>
          </w:p>
        </w:tc>
        <w:tc>
          <w:tcPr>
            <w:tcW w:w="963" w:type="dxa"/>
            <w:tcBorders>
              <w:top w:val="nil"/>
              <w:left w:val="nil"/>
              <w:bottom w:val="single" w:sz="8" w:space="0" w:color="auto"/>
              <w:right w:val="single" w:sz="4" w:space="0" w:color="auto"/>
            </w:tcBorders>
            <w:shd w:val="clear" w:color="auto" w:fill="auto"/>
            <w:noWrap/>
            <w:vAlign w:val="center"/>
          </w:tcPr>
          <w:p w14:paraId="0DA54ECF" w14:textId="77777777" w:rsidR="00CA353F" w:rsidRDefault="002C3F58">
            <w:pPr>
              <w:jc w:val="center"/>
            </w:pPr>
            <w:r>
              <w:t>Pastatai</w:t>
            </w:r>
          </w:p>
        </w:tc>
        <w:tc>
          <w:tcPr>
            <w:tcW w:w="976" w:type="dxa"/>
            <w:tcBorders>
              <w:top w:val="nil"/>
              <w:left w:val="nil"/>
              <w:bottom w:val="single" w:sz="8" w:space="0" w:color="auto"/>
              <w:right w:val="single" w:sz="4" w:space="0" w:color="auto"/>
            </w:tcBorders>
            <w:shd w:val="clear" w:color="auto" w:fill="auto"/>
            <w:noWrap/>
            <w:vAlign w:val="center"/>
          </w:tcPr>
          <w:p w14:paraId="0DA54ED0" w14:textId="77777777" w:rsidR="00CA353F" w:rsidRDefault="002C3F58">
            <w:pPr>
              <w:jc w:val="center"/>
            </w:pPr>
            <w:r>
              <w:t>Kiti statiniai</w:t>
            </w:r>
          </w:p>
        </w:tc>
        <w:tc>
          <w:tcPr>
            <w:tcW w:w="1270" w:type="dxa"/>
            <w:vMerge/>
            <w:tcBorders>
              <w:left w:val="nil"/>
              <w:bottom w:val="single" w:sz="8" w:space="0" w:color="auto"/>
              <w:right w:val="single" w:sz="4" w:space="0" w:color="auto"/>
            </w:tcBorders>
            <w:shd w:val="clear" w:color="auto" w:fill="auto"/>
            <w:noWrap/>
            <w:vAlign w:val="center"/>
          </w:tcPr>
          <w:p w14:paraId="0DA54ED1" w14:textId="77777777" w:rsidR="00CA353F" w:rsidRDefault="00CA353F">
            <w:pPr>
              <w:jc w:val="center"/>
            </w:pPr>
          </w:p>
        </w:tc>
        <w:tc>
          <w:tcPr>
            <w:tcW w:w="1550" w:type="dxa"/>
            <w:vMerge/>
            <w:tcBorders>
              <w:left w:val="nil"/>
              <w:bottom w:val="single" w:sz="8" w:space="0" w:color="auto"/>
              <w:right w:val="single" w:sz="4" w:space="0" w:color="auto"/>
            </w:tcBorders>
            <w:shd w:val="clear" w:color="auto" w:fill="auto"/>
            <w:noWrap/>
            <w:vAlign w:val="center"/>
          </w:tcPr>
          <w:p w14:paraId="0DA54ED2" w14:textId="77777777" w:rsidR="00CA353F" w:rsidRDefault="00CA353F">
            <w:pPr>
              <w:jc w:val="center"/>
            </w:pPr>
          </w:p>
        </w:tc>
        <w:tc>
          <w:tcPr>
            <w:tcW w:w="1156" w:type="dxa"/>
            <w:vMerge/>
            <w:tcBorders>
              <w:left w:val="nil"/>
              <w:bottom w:val="single" w:sz="8" w:space="0" w:color="auto"/>
              <w:right w:val="single" w:sz="8" w:space="0" w:color="auto"/>
            </w:tcBorders>
            <w:shd w:val="clear" w:color="auto" w:fill="auto"/>
            <w:noWrap/>
            <w:vAlign w:val="center"/>
          </w:tcPr>
          <w:p w14:paraId="0DA54ED3" w14:textId="77777777" w:rsidR="00CA353F" w:rsidRDefault="00CA353F">
            <w:pPr>
              <w:jc w:val="center"/>
            </w:pPr>
          </w:p>
        </w:tc>
        <w:tc>
          <w:tcPr>
            <w:tcW w:w="1038" w:type="dxa"/>
            <w:vMerge/>
            <w:tcBorders>
              <w:left w:val="nil"/>
              <w:bottom w:val="single" w:sz="8" w:space="0" w:color="auto"/>
              <w:right w:val="single" w:sz="8" w:space="0" w:color="auto"/>
            </w:tcBorders>
            <w:shd w:val="clear" w:color="auto" w:fill="auto"/>
            <w:noWrap/>
            <w:vAlign w:val="center"/>
          </w:tcPr>
          <w:p w14:paraId="0DA54ED4" w14:textId="77777777" w:rsidR="00CA353F" w:rsidRDefault="00CA353F">
            <w:pPr>
              <w:jc w:val="center"/>
            </w:pPr>
          </w:p>
        </w:tc>
      </w:tr>
      <w:tr w:rsidR="00CA353F" w14:paraId="0DA54EDE" w14:textId="77777777">
        <w:trPr>
          <w:trHeight w:val="255"/>
        </w:trPr>
        <w:tc>
          <w:tcPr>
            <w:tcW w:w="765" w:type="dxa"/>
            <w:tcBorders>
              <w:top w:val="nil"/>
              <w:left w:val="single" w:sz="8" w:space="0" w:color="auto"/>
              <w:bottom w:val="nil"/>
              <w:right w:val="single" w:sz="8" w:space="0" w:color="auto"/>
            </w:tcBorders>
            <w:shd w:val="clear" w:color="auto" w:fill="auto"/>
            <w:noWrap/>
            <w:vAlign w:val="center"/>
          </w:tcPr>
          <w:p w14:paraId="0DA54ED6" w14:textId="77777777" w:rsidR="00CA353F" w:rsidRDefault="002C3F58">
            <w:pPr>
              <w:jc w:val="center"/>
            </w:pPr>
            <w:r>
              <w:t>1</w:t>
            </w:r>
          </w:p>
        </w:tc>
        <w:tc>
          <w:tcPr>
            <w:tcW w:w="1510" w:type="dxa"/>
            <w:tcBorders>
              <w:top w:val="nil"/>
              <w:left w:val="nil"/>
              <w:bottom w:val="nil"/>
              <w:right w:val="single" w:sz="8" w:space="0" w:color="auto"/>
            </w:tcBorders>
            <w:shd w:val="clear" w:color="auto" w:fill="auto"/>
            <w:noWrap/>
            <w:vAlign w:val="center"/>
          </w:tcPr>
          <w:p w14:paraId="0DA54ED7" w14:textId="77777777" w:rsidR="00CA353F" w:rsidRDefault="002C3F58">
            <w:pPr>
              <w:jc w:val="center"/>
            </w:pPr>
            <w:r>
              <w:t>2</w:t>
            </w:r>
          </w:p>
        </w:tc>
        <w:tc>
          <w:tcPr>
            <w:tcW w:w="963" w:type="dxa"/>
            <w:tcBorders>
              <w:top w:val="nil"/>
              <w:left w:val="nil"/>
              <w:bottom w:val="nil"/>
              <w:right w:val="single" w:sz="4" w:space="0" w:color="auto"/>
            </w:tcBorders>
            <w:shd w:val="clear" w:color="auto" w:fill="auto"/>
            <w:noWrap/>
            <w:vAlign w:val="center"/>
          </w:tcPr>
          <w:p w14:paraId="0DA54ED8" w14:textId="77777777" w:rsidR="00CA353F" w:rsidRDefault="002C3F58">
            <w:pPr>
              <w:jc w:val="center"/>
            </w:pPr>
            <w:r>
              <w:t>3</w:t>
            </w:r>
          </w:p>
        </w:tc>
        <w:tc>
          <w:tcPr>
            <w:tcW w:w="976" w:type="dxa"/>
            <w:tcBorders>
              <w:top w:val="nil"/>
              <w:left w:val="nil"/>
              <w:bottom w:val="nil"/>
              <w:right w:val="single" w:sz="4" w:space="0" w:color="auto"/>
            </w:tcBorders>
            <w:shd w:val="clear" w:color="auto" w:fill="auto"/>
            <w:noWrap/>
            <w:vAlign w:val="center"/>
          </w:tcPr>
          <w:p w14:paraId="0DA54ED9" w14:textId="77777777" w:rsidR="00CA353F" w:rsidRDefault="002C3F58">
            <w:pPr>
              <w:jc w:val="center"/>
            </w:pPr>
            <w:r>
              <w:t>4</w:t>
            </w:r>
          </w:p>
        </w:tc>
        <w:tc>
          <w:tcPr>
            <w:tcW w:w="1270" w:type="dxa"/>
            <w:tcBorders>
              <w:top w:val="nil"/>
              <w:left w:val="nil"/>
              <w:bottom w:val="nil"/>
              <w:right w:val="single" w:sz="4" w:space="0" w:color="auto"/>
            </w:tcBorders>
            <w:shd w:val="clear" w:color="auto" w:fill="auto"/>
            <w:noWrap/>
            <w:vAlign w:val="center"/>
          </w:tcPr>
          <w:p w14:paraId="0DA54EDA" w14:textId="77777777" w:rsidR="00CA353F" w:rsidRDefault="002C3F58">
            <w:pPr>
              <w:jc w:val="center"/>
            </w:pPr>
            <w:r>
              <w:t>5</w:t>
            </w:r>
          </w:p>
        </w:tc>
        <w:tc>
          <w:tcPr>
            <w:tcW w:w="1550" w:type="dxa"/>
            <w:tcBorders>
              <w:top w:val="nil"/>
              <w:left w:val="nil"/>
              <w:bottom w:val="nil"/>
              <w:right w:val="single" w:sz="4" w:space="0" w:color="auto"/>
            </w:tcBorders>
            <w:shd w:val="clear" w:color="auto" w:fill="auto"/>
            <w:noWrap/>
            <w:vAlign w:val="center"/>
          </w:tcPr>
          <w:p w14:paraId="0DA54EDB" w14:textId="77777777" w:rsidR="00CA353F" w:rsidRDefault="002C3F58">
            <w:pPr>
              <w:jc w:val="center"/>
            </w:pPr>
            <w:r>
              <w:t>6</w:t>
            </w:r>
          </w:p>
        </w:tc>
        <w:tc>
          <w:tcPr>
            <w:tcW w:w="1156" w:type="dxa"/>
            <w:tcBorders>
              <w:top w:val="nil"/>
              <w:left w:val="nil"/>
              <w:bottom w:val="nil"/>
              <w:right w:val="nil"/>
            </w:tcBorders>
            <w:shd w:val="clear" w:color="auto" w:fill="auto"/>
            <w:noWrap/>
            <w:vAlign w:val="center"/>
          </w:tcPr>
          <w:p w14:paraId="0DA54EDC" w14:textId="77777777" w:rsidR="00CA353F" w:rsidRDefault="002C3F58">
            <w:pPr>
              <w:jc w:val="center"/>
            </w:pPr>
            <w:r>
              <w:t>7</w:t>
            </w:r>
          </w:p>
        </w:tc>
        <w:tc>
          <w:tcPr>
            <w:tcW w:w="1038" w:type="dxa"/>
            <w:tcBorders>
              <w:top w:val="nil"/>
              <w:left w:val="single" w:sz="4" w:space="0" w:color="auto"/>
              <w:bottom w:val="single" w:sz="8" w:space="0" w:color="auto"/>
              <w:right w:val="single" w:sz="8" w:space="0" w:color="auto"/>
            </w:tcBorders>
            <w:shd w:val="clear" w:color="auto" w:fill="auto"/>
            <w:noWrap/>
            <w:vAlign w:val="center"/>
          </w:tcPr>
          <w:p w14:paraId="0DA54EDD" w14:textId="77777777" w:rsidR="00CA353F" w:rsidRDefault="002C3F58">
            <w:pPr>
              <w:jc w:val="center"/>
            </w:pPr>
            <w:r>
              <w:t>8</w:t>
            </w:r>
          </w:p>
        </w:tc>
      </w:tr>
      <w:tr w:rsidR="00CA353F" w14:paraId="0DA54EE7" w14:textId="77777777">
        <w:trPr>
          <w:trHeight w:val="345"/>
        </w:trPr>
        <w:tc>
          <w:tcPr>
            <w:tcW w:w="765" w:type="dxa"/>
            <w:tcBorders>
              <w:top w:val="single" w:sz="8" w:space="0" w:color="auto"/>
              <w:left w:val="single" w:sz="8" w:space="0" w:color="auto"/>
              <w:bottom w:val="single" w:sz="4" w:space="0" w:color="auto"/>
              <w:right w:val="single" w:sz="8" w:space="0" w:color="auto"/>
            </w:tcBorders>
            <w:shd w:val="clear" w:color="auto" w:fill="auto"/>
            <w:noWrap/>
          </w:tcPr>
          <w:p w14:paraId="0DA54EDF" w14:textId="77777777" w:rsidR="00CA353F" w:rsidRDefault="002C3F58">
            <w:r>
              <w:t>1</w:t>
            </w:r>
          </w:p>
        </w:tc>
        <w:tc>
          <w:tcPr>
            <w:tcW w:w="1510" w:type="dxa"/>
            <w:tcBorders>
              <w:top w:val="single" w:sz="8" w:space="0" w:color="auto"/>
              <w:left w:val="nil"/>
              <w:bottom w:val="single" w:sz="4" w:space="0" w:color="auto"/>
              <w:right w:val="single" w:sz="8" w:space="0" w:color="auto"/>
            </w:tcBorders>
            <w:shd w:val="clear" w:color="auto" w:fill="auto"/>
            <w:noWrap/>
          </w:tcPr>
          <w:p w14:paraId="0DA54EE0" w14:textId="77777777" w:rsidR="00CA353F" w:rsidRDefault="002C3F58">
            <w:r>
              <w:t>Turto vertė koregavimo metų pradžioje (sausio 1 d.)</w:t>
            </w:r>
          </w:p>
        </w:tc>
        <w:tc>
          <w:tcPr>
            <w:tcW w:w="963" w:type="dxa"/>
            <w:tcBorders>
              <w:top w:val="single" w:sz="8" w:space="0" w:color="auto"/>
              <w:left w:val="nil"/>
              <w:bottom w:val="single" w:sz="4" w:space="0" w:color="auto"/>
              <w:right w:val="single" w:sz="4" w:space="0" w:color="auto"/>
            </w:tcBorders>
            <w:shd w:val="clear" w:color="auto" w:fill="auto"/>
            <w:noWrap/>
          </w:tcPr>
          <w:p w14:paraId="0DA54EE1" w14:textId="77777777" w:rsidR="00CA353F" w:rsidRDefault="00CA353F"/>
        </w:tc>
        <w:tc>
          <w:tcPr>
            <w:tcW w:w="976" w:type="dxa"/>
            <w:tcBorders>
              <w:top w:val="single" w:sz="8" w:space="0" w:color="auto"/>
              <w:left w:val="nil"/>
              <w:bottom w:val="single" w:sz="4" w:space="0" w:color="auto"/>
              <w:right w:val="single" w:sz="4" w:space="0" w:color="auto"/>
            </w:tcBorders>
            <w:shd w:val="clear" w:color="auto" w:fill="auto"/>
            <w:noWrap/>
          </w:tcPr>
          <w:p w14:paraId="0DA54EE2" w14:textId="77777777" w:rsidR="00CA353F" w:rsidRDefault="00CA353F"/>
        </w:tc>
        <w:tc>
          <w:tcPr>
            <w:tcW w:w="1270" w:type="dxa"/>
            <w:tcBorders>
              <w:top w:val="single" w:sz="8" w:space="0" w:color="auto"/>
              <w:left w:val="nil"/>
              <w:bottom w:val="single" w:sz="4" w:space="0" w:color="auto"/>
              <w:right w:val="single" w:sz="4" w:space="0" w:color="auto"/>
            </w:tcBorders>
            <w:shd w:val="clear" w:color="auto" w:fill="auto"/>
            <w:noWrap/>
          </w:tcPr>
          <w:p w14:paraId="0DA54EE3" w14:textId="77777777" w:rsidR="00CA353F" w:rsidRDefault="00CA353F"/>
        </w:tc>
        <w:tc>
          <w:tcPr>
            <w:tcW w:w="1550" w:type="dxa"/>
            <w:tcBorders>
              <w:top w:val="single" w:sz="8" w:space="0" w:color="auto"/>
              <w:left w:val="nil"/>
              <w:bottom w:val="single" w:sz="4" w:space="0" w:color="auto"/>
              <w:right w:val="single" w:sz="4" w:space="0" w:color="auto"/>
            </w:tcBorders>
            <w:shd w:val="clear" w:color="auto" w:fill="auto"/>
            <w:noWrap/>
          </w:tcPr>
          <w:p w14:paraId="0DA54EE4" w14:textId="77777777" w:rsidR="00CA353F" w:rsidRDefault="00CA353F"/>
        </w:tc>
        <w:tc>
          <w:tcPr>
            <w:tcW w:w="1156" w:type="dxa"/>
            <w:tcBorders>
              <w:top w:val="single" w:sz="8" w:space="0" w:color="auto"/>
              <w:left w:val="nil"/>
              <w:bottom w:val="single" w:sz="4" w:space="0" w:color="auto"/>
              <w:right w:val="single" w:sz="4" w:space="0" w:color="auto"/>
            </w:tcBorders>
            <w:shd w:val="clear" w:color="auto" w:fill="auto"/>
            <w:noWrap/>
          </w:tcPr>
          <w:p w14:paraId="0DA54EE5" w14:textId="77777777" w:rsidR="00CA353F" w:rsidRDefault="00CA353F"/>
        </w:tc>
        <w:tc>
          <w:tcPr>
            <w:tcW w:w="1038" w:type="dxa"/>
            <w:tcBorders>
              <w:top w:val="nil"/>
              <w:left w:val="nil"/>
              <w:bottom w:val="single" w:sz="4" w:space="0" w:color="auto"/>
              <w:right w:val="single" w:sz="8" w:space="0" w:color="auto"/>
            </w:tcBorders>
            <w:shd w:val="clear" w:color="auto" w:fill="auto"/>
            <w:noWrap/>
          </w:tcPr>
          <w:p w14:paraId="0DA54EE6" w14:textId="77777777" w:rsidR="00CA353F" w:rsidRDefault="00CA353F"/>
        </w:tc>
      </w:tr>
      <w:tr w:rsidR="00CA353F" w14:paraId="0DA54EF0" w14:textId="77777777">
        <w:trPr>
          <w:trHeight w:val="405"/>
        </w:trPr>
        <w:tc>
          <w:tcPr>
            <w:tcW w:w="765" w:type="dxa"/>
            <w:tcBorders>
              <w:top w:val="nil"/>
              <w:left w:val="single" w:sz="8" w:space="0" w:color="auto"/>
              <w:bottom w:val="single" w:sz="4" w:space="0" w:color="auto"/>
              <w:right w:val="single" w:sz="8" w:space="0" w:color="auto"/>
            </w:tcBorders>
            <w:shd w:val="clear" w:color="auto" w:fill="auto"/>
            <w:noWrap/>
          </w:tcPr>
          <w:p w14:paraId="0DA54EE8" w14:textId="77777777" w:rsidR="00CA353F" w:rsidRDefault="002C3F58">
            <w:r>
              <w:t>2</w:t>
            </w:r>
          </w:p>
        </w:tc>
        <w:tc>
          <w:tcPr>
            <w:tcW w:w="1510" w:type="dxa"/>
            <w:tcBorders>
              <w:top w:val="nil"/>
              <w:left w:val="nil"/>
              <w:bottom w:val="single" w:sz="4" w:space="0" w:color="auto"/>
              <w:right w:val="single" w:sz="8" w:space="0" w:color="auto"/>
            </w:tcBorders>
            <w:shd w:val="clear" w:color="auto" w:fill="auto"/>
            <w:noWrap/>
          </w:tcPr>
          <w:p w14:paraId="0DA54EE9" w14:textId="77777777" w:rsidR="00CA353F" w:rsidRDefault="002C3F58">
            <w:r>
              <w:t>Turto vertė koregavimo metų pabaigoje (gruodžio 31 d.)</w:t>
            </w:r>
          </w:p>
        </w:tc>
        <w:tc>
          <w:tcPr>
            <w:tcW w:w="963" w:type="dxa"/>
            <w:tcBorders>
              <w:top w:val="nil"/>
              <w:left w:val="nil"/>
              <w:bottom w:val="single" w:sz="4" w:space="0" w:color="auto"/>
              <w:right w:val="single" w:sz="4" w:space="0" w:color="auto"/>
            </w:tcBorders>
            <w:shd w:val="clear" w:color="auto" w:fill="auto"/>
            <w:noWrap/>
          </w:tcPr>
          <w:p w14:paraId="0DA54EEA" w14:textId="77777777" w:rsidR="00CA353F" w:rsidRDefault="00CA353F"/>
        </w:tc>
        <w:tc>
          <w:tcPr>
            <w:tcW w:w="976" w:type="dxa"/>
            <w:tcBorders>
              <w:top w:val="nil"/>
              <w:left w:val="nil"/>
              <w:bottom w:val="single" w:sz="4" w:space="0" w:color="auto"/>
              <w:right w:val="single" w:sz="4" w:space="0" w:color="auto"/>
            </w:tcBorders>
            <w:shd w:val="clear" w:color="auto" w:fill="auto"/>
            <w:noWrap/>
          </w:tcPr>
          <w:p w14:paraId="0DA54EEB" w14:textId="77777777" w:rsidR="00CA353F" w:rsidRDefault="00CA353F"/>
        </w:tc>
        <w:tc>
          <w:tcPr>
            <w:tcW w:w="1270" w:type="dxa"/>
            <w:tcBorders>
              <w:top w:val="nil"/>
              <w:left w:val="nil"/>
              <w:bottom w:val="single" w:sz="4" w:space="0" w:color="auto"/>
              <w:right w:val="single" w:sz="4" w:space="0" w:color="auto"/>
            </w:tcBorders>
            <w:shd w:val="clear" w:color="auto" w:fill="auto"/>
            <w:noWrap/>
          </w:tcPr>
          <w:p w14:paraId="0DA54EEC" w14:textId="77777777" w:rsidR="00CA353F" w:rsidRDefault="00CA353F"/>
        </w:tc>
        <w:tc>
          <w:tcPr>
            <w:tcW w:w="1550" w:type="dxa"/>
            <w:tcBorders>
              <w:top w:val="nil"/>
              <w:left w:val="nil"/>
              <w:bottom w:val="single" w:sz="4" w:space="0" w:color="auto"/>
              <w:right w:val="single" w:sz="4" w:space="0" w:color="auto"/>
            </w:tcBorders>
            <w:shd w:val="clear" w:color="auto" w:fill="auto"/>
            <w:noWrap/>
          </w:tcPr>
          <w:p w14:paraId="0DA54EED" w14:textId="77777777" w:rsidR="00CA353F" w:rsidRDefault="00CA353F"/>
        </w:tc>
        <w:tc>
          <w:tcPr>
            <w:tcW w:w="1156" w:type="dxa"/>
            <w:tcBorders>
              <w:top w:val="nil"/>
              <w:left w:val="nil"/>
              <w:bottom w:val="single" w:sz="4" w:space="0" w:color="auto"/>
              <w:right w:val="single" w:sz="4" w:space="0" w:color="auto"/>
            </w:tcBorders>
            <w:shd w:val="clear" w:color="auto" w:fill="auto"/>
            <w:noWrap/>
          </w:tcPr>
          <w:p w14:paraId="0DA54EEE" w14:textId="77777777" w:rsidR="00CA353F" w:rsidRDefault="00CA353F"/>
        </w:tc>
        <w:tc>
          <w:tcPr>
            <w:tcW w:w="1038" w:type="dxa"/>
            <w:tcBorders>
              <w:top w:val="nil"/>
              <w:left w:val="nil"/>
              <w:bottom w:val="single" w:sz="4" w:space="0" w:color="auto"/>
              <w:right w:val="single" w:sz="8" w:space="0" w:color="auto"/>
            </w:tcBorders>
            <w:shd w:val="clear" w:color="auto" w:fill="auto"/>
            <w:noWrap/>
          </w:tcPr>
          <w:p w14:paraId="0DA54EEF" w14:textId="77777777" w:rsidR="00CA353F" w:rsidRDefault="00CA353F"/>
        </w:tc>
      </w:tr>
      <w:tr w:rsidR="00CA353F" w14:paraId="0DA54EF9" w14:textId="77777777">
        <w:trPr>
          <w:trHeight w:val="375"/>
        </w:trPr>
        <w:tc>
          <w:tcPr>
            <w:tcW w:w="765" w:type="dxa"/>
            <w:tcBorders>
              <w:top w:val="nil"/>
              <w:left w:val="single" w:sz="8" w:space="0" w:color="auto"/>
              <w:bottom w:val="single" w:sz="4" w:space="0" w:color="auto"/>
              <w:right w:val="single" w:sz="8" w:space="0" w:color="auto"/>
            </w:tcBorders>
            <w:shd w:val="clear" w:color="auto" w:fill="auto"/>
            <w:noWrap/>
          </w:tcPr>
          <w:p w14:paraId="0DA54EF1" w14:textId="77777777" w:rsidR="00CA353F" w:rsidRDefault="002C3F58">
            <w:r>
              <w:t>3</w:t>
            </w:r>
          </w:p>
        </w:tc>
        <w:tc>
          <w:tcPr>
            <w:tcW w:w="1510" w:type="dxa"/>
            <w:tcBorders>
              <w:top w:val="nil"/>
              <w:left w:val="nil"/>
              <w:bottom w:val="single" w:sz="4" w:space="0" w:color="auto"/>
              <w:right w:val="single" w:sz="8" w:space="0" w:color="auto"/>
            </w:tcBorders>
            <w:shd w:val="clear" w:color="auto" w:fill="auto"/>
          </w:tcPr>
          <w:p w14:paraId="0DA54EF2" w14:textId="77777777" w:rsidR="00CA353F" w:rsidRDefault="002C3F58">
            <w:r>
              <w:t>Turto nusidėvėjimo sąnaudos koregavimo metų pradžioje (sausio 1 d.)</w:t>
            </w:r>
          </w:p>
        </w:tc>
        <w:tc>
          <w:tcPr>
            <w:tcW w:w="963" w:type="dxa"/>
            <w:tcBorders>
              <w:top w:val="nil"/>
              <w:left w:val="nil"/>
              <w:bottom w:val="single" w:sz="4" w:space="0" w:color="auto"/>
              <w:right w:val="single" w:sz="4" w:space="0" w:color="auto"/>
            </w:tcBorders>
            <w:shd w:val="clear" w:color="auto" w:fill="auto"/>
            <w:noWrap/>
          </w:tcPr>
          <w:p w14:paraId="0DA54EF3" w14:textId="77777777" w:rsidR="00CA353F" w:rsidRDefault="00CA353F"/>
        </w:tc>
        <w:tc>
          <w:tcPr>
            <w:tcW w:w="976" w:type="dxa"/>
            <w:tcBorders>
              <w:top w:val="nil"/>
              <w:left w:val="nil"/>
              <w:bottom w:val="single" w:sz="4" w:space="0" w:color="auto"/>
              <w:right w:val="single" w:sz="4" w:space="0" w:color="auto"/>
            </w:tcBorders>
            <w:shd w:val="clear" w:color="auto" w:fill="auto"/>
            <w:noWrap/>
          </w:tcPr>
          <w:p w14:paraId="0DA54EF4" w14:textId="77777777" w:rsidR="00CA353F" w:rsidRDefault="00CA353F"/>
        </w:tc>
        <w:tc>
          <w:tcPr>
            <w:tcW w:w="1270" w:type="dxa"/>
            <w:tcBorders>
              <w:top w:val="nil"/>
              <w:left w:val="nil"/>
              <w:bottom w:val="single" w:sz="4" w:space="0" w:color="auto"/>
              <w:right w:val="single" w:sz="4" w:space="0" w:color="auto"/>
            </w:tcBorders>
            <w:shd w:val="clear" w:color="auto" w:fill="auto"/>
            <w:noWrap/>
          </w:tcPr>
          <w:p w14:paraId="0DA54EF5" w14:textId="77777777" w:rsidR="00CA353F" w:rsidRDefault="00CA353F"/>
        </w:tc>
        <w:tc>
          <w:tcPr>
            <w:tcW w:w="1550" w:type="dxa"/>
            <w:tcBorders>
              <w:top w:val="nil"/>
              <w:left w:val="nil"/>
              <w:bottom w:val="single" w:sz="4" w:space="0" w:color="auto"/>
              <w:right w:val="single" w:sz="4" w:space="0" w:color="auto"/>
            </w:tcBorders>
            <w:shd w:val="clear" w:color="auto" w:fill="auto"/>
            <w:noWrap/>
          </w:tcPr>
          <w:p w14:paraId="0DA54EF6" w14:textId="77777777" w:rsidR="00CA353F" w:rsidRDefault="00CA353F"/>
        </w:tc>
        <w:tc>
          <w:tcPr>
            <w:tcW w:w="1156" w:type="dxa"/>
            <w:tcBorders>
              <w:top w:val="nil"/>
              <w:left w:val="nil"/>
              <w:bottom w:val="single" w:sz="4" w:space="0" w:color="auto"/>
              <w:right w:val="single" w:sz="4" w:space="0" w:color="auto"/>
            </w:tcBorders>
            <w:shd w:val="clear" w:color="auto" w:fill="auto"/>
            <w:noWrap/>
          </w:tcPr>
          <w:p w14:paraId="0DA54EF7" w14:textId="77777777" w:rsidR="00CA353F" w:rsidRDefault="00CA353F"/>
        </w:tc>
        <w:tc>
          <w:tcPr>
            <w:tcW w:w="1038" w:type="dxa"/>
            <w:tcBorders>
              <w:top w:val="nil"/>
              <w:left w:val="nil"/>
              <w:bottom w:val="single" w:sz="4" w:space="0" w:color="auto"/>
              <w:right w:val="single" w:sz="8" w:space="0" w:color="auto"/>
            </w:tcBorders>
            <w:shd w:val="clear" w:color="auto" w:fill="auto"/>
            <w:noWrap/>
          </w:tcPr>
          <w:p w14:paraId="0DA54EF8" w14:textId="77777777" w:rsidR="00CA353F" w:rsidRDefault="00CA353F"/>
        </w:tc>
      </w:tr>
      <w:tr w:rsidR="00CA353F" w14:paraId="0DA54F02" w14:textId="77777777">
        <w:trPr>
          <w:trHeight w:val="405"/>
        </w:trPr>
        <w:tc>
          <w:tcPr>
            <w:tcW w:w="765" w:type="dxa"/>
            <w:tcBorders>
              <w:top w:val="nil"/>
              <w:left w:val="single" w:sz="8" w:space="0" w:color="auto"/>
              <w:bottom w:val="single" w:sz="8" w:space="0" w:color="auto"/>
              <w:right w:val="single" w:sz="8" w:space="0" w:color="auto"/>
            </w:tcBorders>
            <w:shd w:val="clear" w:color="auto" w:fill="auto"/>
            <w:noWrap/>
          </w:tcPr>
          <w:p w14:paraId="0DA54EFA" w14:textId="77777777" w:rsidR="00CA353F" w:rsidRDefault="002C3F58">
            <w:r>
              <w:t>4</w:t>
            </w:r>
          </w:p>
        </w:tc>
        <w:tc>
          <w:tcPr>
            <w:tcW w:w="1510" w:type="dxa"/>
            <w:tcBorders>
              <w:top w:val="nil"/>
              <w:left w:val="nil"/>
              <w:bottom w:val="single" w:sz="8" w:space="0" w:color="auto"/>
              <w:right w:val="single" w:sz="8" w:space="0" w:color="auto"/>
            </w:tcBorders>
            <w:shd w:val="clear" w:color="auto" w:fill="auto"/>
          </w:tcPr>
          <w:p w14:paraId="0DA54EFB" w14:textId="77777777" w:rsidR="00CA353F" w:rsidRDefault="002C3F58">
            <w:r>
              <w:t>Turto nusidėvėjimo sąnaudos koregavimo metų pabaigoje (gruodžio 31 d.)</w:t>
            </w:r>
          </w:p>
        </w:tc>
        <w:tc>
          <w:tcPr>
            <w:tcW w:w="963" w:type="dxa"/>
            <w:tcBorders>
              <w:top w:val="nil"/>
              <w:left w:val="nil"/>
              <w:bottom w:val="single" w:sz="8" w:space="0" w:color="auto"/>
              <w:right w:val="single" w:sz="4" w:space="0" w:color="auto"/>
            </w:tcBorders>
            <w:shd w:val="clear" w:color="auto" w:fill="auto"/>
            <w:noWrap/>
          </w:tcPr>
          <w:p w14:paraId="0DA54EFC" w14:textId="77777777" w:rsidR="00CA353F" w:rsidRDefault="00CA353F"/>
        </w:tc>
        <w:tc>
          <w:tcPr>
            <w:tcW w:w="976" w:type="dxa"/>
            <w:tcBorders>
              <w:top w:val="nil"/>
              <w:left w:val="nil"/>
              <w:bottom w:val="single" w:sz="8" w:space="0" w:color="auto"/>
              <w:right w:val="single" w:sz="4" w:space="0" w:color="auto"/>
            </w:tcBorders>
            <w:shd w:val="clear" w:color="auto" w:fill="auto"/>
            <w:noWrap/>
          </w:tcPr>
          <w:p w14:paraId="0DA54EFD" w14:textId="77777777" w:rsidR="00CA353F" w:rsidRDefault="00CA353F"/>
        </w:tc>
        <w:tc>
          <w:tcPr>
            <w:tcW w:w="1270" w:type="dxa"/>
            <w:tcBorders>
              <w:top w:val="nil"/>
              <w:left w:val="nil"/>
              <w:bottom w:val="single" w:sz="8" w:space="0" w:color="auto"/>
              <w:right w:val="single" w:sz="4" w:space="0" w:color="auto"/>
            </w:tcBorders>
            <w:shd w:val="clear" w:color="auto" w:fill="auto"/>
            <w:noWrap/>
          </w:tcPr>
          <w:p w14:paraId="0DA54EFE" w14:textId="77777777" w:rsidR="00CA353F" w:rsidRDefault="00CA353F"/>
        </w:tc>
        <w:tc>
          <w:tcPr>
            <w:tcW w:w="1550" w:type="dxa"/>
            <w:tcBorders>
              <w:top w:val="nil"/>
              <w:left w:val="nil"/>
              <w:bottom w:val="single" w:sz="8" w:space="0" w:color="auto"/>
              <w:right w:val="single" w:sz="4" w:space="0" w:color="auto"/>
            </w:tcBorders>
            <w:shd w:val="clear" w:color="auto" w:fill="auto"/>
            <w:noWrap/>
          </w:tcPr>
          <w:p w14:paraId="0DA54EFF" w14:textId="77777777" w:rsidR="00CA353F" w:rsidRDefault="00CA353F"/>
        </w:tc>
        <w:tc>
          <w:tcPr>
            <w:tcW w:w="1156" w:type="dxa"/>
            <w:tcBorders>
              <w:top w:val="nil"/>
              <w:left w:val="nil"/>
              <w:bottom w:val="single" w:sz="8" w:space="0" w:color="auto"/>
              <w:right w:val="single" w:sz="4" w:space="0" w:color="auto"/>
            </w:tcBorders>
            <w:shd w:val="clear" w:color="auto" w:fill="auto"/>
            <w:noWrap/>
          </w:tcPr>
          <w:p w14:paraId="0DA54F00" w14:textId="77777777" w:rsidR="00CA353F" w:rsidRDefault="00CA353F"/>
        </w:tc>
        <w:tc>
          <w:tcPr>
            <w:tcW w:w="1038" w:type="dxa"/>
            <w:tcBorders>
              <w:top w:val="nil"/>
              <w:left w:val="nil"/>
              <w:bottom w:val="single" w:sz="8" w:space="0" w:color="auto"/>
              <w:right w:val="single" w:sz="8" w:space="0" w:color="auto"/>
            </w:tcBorders>
            <w:shd w:val="clear" w:color="auto" w:fill="auto"/>
            <w:noWrap/>
          </w:tcPr>
          <w:p w14:paraId="0DA54F01" w14:textId="77777777" w:rsidR="00CA353F" w:rsidRDefault="00CA353F"/>
        </w:tc>
      </w:tr>
    </w:tbl>
    <w:p w14:paraId="0DA54F03" w14:textId="77777777" w:rsidR="00CA353F" w:rsidRDefault="00CA353F">
      <w:pPr>
        <w:ind w:firstLine="567"/>
        <w:jc w:val="both"/>
      </w:pPr>
    </w:p>
    <w:tbl>
      <w:tblPr>
        <w:tblW w:w="9070" w:type="dxa"/>
        <w:tblLook w:val="0000" w:firstRow="0" w:lastRow="0" w:firstColumn="0" w:lastColumn="0" w:noHBand="0" w:noVBand="0"/>
      </w:tblPr>
      <w:tblGrid>
        <w:gridCol w:w="3244"/>
        <w:gridCol w:w="2271"/>
        <w:gridCol w:w="3555"/>
      </w:tblGrid>
      <w:tr w:rsidR="00CA353F" w14:paraId="0DA54F0A" w14:textId="77777777">
        <w:trPr>
          <w:trHeight w:val="240"/>
        </w:trPr>
        <w:tc>
          <w:tcPr>
            <w:tcW w:w="2628" w:type="dxa"/>
            <w:tcBorders>
              <w:top w:val="nil"/>
              <w:left w:val="nil"/>
              <w:bottom w:val="nil"/>
              <w:right w:val="nil"/>
            </w:tcBorders>
            <w:shd w:val="clear" w:color="auto" w:fill="auto"/>
            <w:noWrap/>
            <w:vAlign w:val="bottom"/>
          </w:tcPr>
          <w:p w14:paraId="0DA54F04" w14:textId="77777777" w:rsidR="00CA353F" w:rsidRDefault="002C3F58">
            <w:pPr>
              <w:jc w:val="center"/>
            </w:pPr>
            <w:r>
              <w:t>_______________</w:t>
            </w:r>
          </w:p>
          <w:p w14:paraId="0DA54F05" w14:textId="77777777" w:rsidR="00CA353F" w:rsidRDefault="002C3F58">
            <w:pPr>
              <w:jc w:val="center"/>
            </w:pPr>
            <w:r>
              <w:t>(pareigų pavadinimas)</w:t>
            </w:r>
          </w:p>
        </w:tc>
        <w:tc>
          <w:tcPr>
            <w:tcW w:w="1840" w:type="dxa"/>
            <w:tcBorders>
              <w:top w:val="nil"/>
              <w:left w:val="nil"/>
              <w:bottom w:val="nil"/>
              <w:right w:val="nil"/>
            </w:tcBorders>
            <w:shd w:val="clear" w:color="auto" w:fill="auto"/>
            <w:noWrap/>
            <w:vAlign w:val="bottom"/>
          </w:tcPr>
          <w:p w14:paraId="0DA54F06" w14:textId="77777777" w:rsidR="00CA353F" w:rsidRDefault="002C3F58">
            <w:pPr>
              <w:jc w:val="center"/>
            </w:pPr>
            <w:r>
              <w:t>_________</w:t>
            </w:r>
          </w:p>
          <w:p w14:paraId="0DA54F07" w14:textId="77777777" w:rsidR="00CA353F" w:rsidRDefault="002C3F58">
            <w:pPr>
              <w:jc w:val="center"/>
            </w:pPr>
            <w:r>
              <w:t>(parašas)</w:t>
            </w:r>
          </w:p>
        </w:tc>
        <w:tc>
          <w:tcPr>
            <w:tcW w:w="2880" w:type="dxa"/>
            <w:tcBorders>
              <w:top w:val="nil"/>
              <w:left w:val="nil"/>
              <w:bottom w:val="nil"/>
              <w:right w:val="nil"/>
            </w:tcBorders>
            <w:shd w:val="clear" w:color="auto" w:fill="auto"/>
            <w:noWrap/>
            <w:vAlign w:val="bottom"/>
          </w:tcPr>
          <w:p w14:paraId="0DA54F08" w14:textId="77777777" w:rsidR="00CA353F" w:rsidRDefault="002C3F58">
            <w:pPr>
              <w:jc w:val="center"/>
            </w:pPr>
            <w:r>
              <w:t>_______________</w:t>
            </w:r>
          </w:p>
          <w:p w14:paraId="0DA54F09" w14:textId="77777777" w:rsidR="00CA353F" w:rsidRDefault="002C3F58">
            <w:pPr>
              <w:jc w:val="center"/>
            </w:pPr>
            <w:r>
              <w:t>(vardas ir pavardė)</w:t>
            </w:r>
          </w:p>
        </w:tc>
      </w:tr>
    </w:tbl>
    <w:p w14:paraId="0DA54F0B" w14:textId="006C1DE1" w:rsidR="00CA353F" w:rsidRDefault="00CA353F"/>
    <w:p w14:paraId="0DA54F0C" w14:textId="7A40F268" w:rsidR="00CA353F" w:rsidRDefault="002C3F58">
      <w:pPr>
        <w:jc w:val="center"/>
      </w:pPr>
      <w:r>
        <w:t>_________________</w:t>
      </w:r>
    </w:p>
    <w:p w14:paraId="0DA54F0D" w14:textId="77777777" w:rsidR="00CA353F" w:rsidRDefault="002C3F58">
      <w:pPr>
        <w:tabs>
          <w:tab w:val="left" w:pos="868"/>
          <w:tab w:val="left" w:pos="7788"/>
          <w:tab w:val="left" w:pos="8748"/>
          <w:tab w:val="left" w:pos="9708"/>
          <w:tab w:val="left" w:pos="10668"/>
          <w:tab w:val="left" w:pos="11628"/>
          <w:tab w:val="left" w:pos="12588"/>
          <w:tab w:val="left" w:pos="13468"/>
          <w:tab w:val="left" w:pos="14428"/>
          <w:tab w:val="left" w:pos="15388"/>
          <w:tab w:val="left" w:pos="16348"/>
          <w:tab w:val="left" w:pos="17308"/>
          <w:tab w:val="left" w:pos="18268"/>
          <w:tab w:val="left" w:pos="19228"/>
        </w:tabs>
        <w:ind w:left="5102"/>
      </w:pPr>
      <w:r>
        <w:br w:type="page"/>
      </w:r>
      <w:r>
        <w:lastRenderedPageBreak/>
        <w:t>Gamtinių dujų tiekimo kainų</w:t>
      </w:r>
    </w:p>
    <w:p w14:paraId="0DA54F0E" w14:textId="77777777" w:rsidR="00CA353F" w:rsidRDefault="002C3F58">
      <w:pPr>
        <w:tabs>
          <w:tab w:val="left" w:pos="868"/>
          <w:tab w:val="left" w:pos="7788"/>
          <w:tab w:val="left" w:pos="8748"/>
          <w:tab w:val="left" w:pos="9708"/>
          <w:tab w:val="left" w:pos="10668"/>
          <w:tab w:val="left" w:pos="11628"/>
          <w:tab w:val="left" w:pos="12588"/>
          <w:tab w:val="left" w:pos="13468"/>
          <w:tab w:val="left" w:pos="14428"/>
          <w:tab w:val="left" w:pos="15388"/>
          <w:tab w:val="left" w:pos="16348"/>
          <w:tab w:val="left" w:pos="17308"/>
          <w:tab w:val="left" w:pos="18268"/>
          <w:tab w:val="left" w:pos="19228"/>
        </w:tabs>
        <w:ind w:firstLine="5102"/>
      </w:pPr>
      <w:r>
        <w:t xml:space="preserve">viršutinių ribų skaičiavimo metodikos </w:t>
      </w:r>
    </w:p>
    <w:p w14:paraId="0DA54F0F" w14:textId="77777777" w:rsidR="00CA353F" w:rsidRDefault="00B57BD2">
      <w:pPr>
        <w:tabs>
          <w:tab w:val="left" w:pos="868"/>
          <w:tab w:val="left" w:pos="7788"/>
          <w:tab w:val="left" w:pos="8748"/>
          <w:tab w:val="left" w:pos="9708"/>
          <w:tab w:val="left" w:pos="10668"/>
          <w:tab w:val="left" w:pos="11628"/>
          <w:tab w:val="left" w:pos="12588"/>
          <w:tab w:val="left" w:pos="13468"/>
          <w:tab w:val="left" w:pos="14428"/>
          <w:tab w:val="left" w:pos="15388"/>
          <w:tab w:val="left" w:pos="16348"/>
          <w:tab w:val="left" w:pos="17308"/>
          <w:tab w:val="left" w:pos="18268"/>
          <w:tab w:val="left" w:pos="19228"/>
          <w:tab w:val="left" w:pos="22539"/>
          <w:tab w:val="left" w:pos="22815"/>
          <w:tab w:val="left" w:pos="23091"/>
        </w:tabs>
        <w:ind w:firstLine="5102"/>
      </w:pPr>
      <w:r w:rsidR="002C3F58">
        <w:t>4</w:t>
      </w:r>
      <w:r w:rsidR="002C3F58">
        <w:t xml:space="preserve"> priedas</w:t>
      </w:r>
    </w:p>
    <w:p w14:paraId="0DA54F10" w14:textId="77777777" w:rsidR="00CA353F" w:rsidRDefault="00CA353F">
      <w:pPr>
        <w:tabs>
          <w:tab w:val="left" w:pos="868"/>
          <w:tab w:val="left" w:pos="7788"/>
          <w:tab w:val="left" w:pos="8748"/>
          <w:tab w:val="left" w:pos="9708"/>
          <w:tab w:val="left" w:pos="10668"/>
          <w:tab w:val="left" w:pos="11628"/>
          <w:tab w:val="left" w:pos="12588"/>
          <w:tab w:val="left" w:pos="13468"/>
          <w:tab w:val="left" w:pos="14428"/>
          <w:tab w:val="left" w:pos="15388"/>
          <w:tab w:val="left" w:pos="16348"/>
          <w:tab w:val="left" w:pos="17308"/>
          <w:tab w:val="left" w:pos="18268"/>
          <w:tab w:val="left" w:pos="19228"/>
          <w:tab w:val="left" w:pos="22539"/>
          <w:tab w:val="left" w:pos="22815"/>
          <w:tab w:val="left" w:pos="23091"/>
        </w:tabs>
        <w:jc w:val="center"/>
      </w:pPr>
    </w:p>
    <w:p w14:paraId="0DA54F11" w14:textId="77777777" w:rsidR="00CA353F" w:rsidRDefault="00B57BD2">
      <w:pPr>
        <w:jc w:val="center"/>
      </w:pPr>
      <w:r w:rsidR="002C3F58">
        <w:rPr>
          <w:b/>
          <w:bCs/>
        </w:rPr>
        <w:t>ILGALAIKIO TURTO NUSIDĖVĖJIMO (AMORTIZACIJOS) NORMATYVAI, TAIKOMI TIEKIMO KAINŲ VIRŠUTINIŲ RIBŲ SKAIČIAVIMUOSE</w:t>
      </w:r>
    </w:p>
    <w:p w14:paraId="0DA54F12" w14:textId="77777777" w:rsidR="00CA353F" w:rsidRDefault="00CA353F">
      <w:pPr>
        <w:ind w:firstLine="567"/>
        <w:jc w:val="both"/>
      </w:pPr>
    </w:p>
    <w:tbl>
      <w:tblPr>
        <w:tblW w:w="9070" w:type="dxa"/>
        <w:tblLook w:val="0000" w:firstRow="0" w:lastRow="0" w:firstColumn="0" w:lastColumn="0" w:noHBand="0" w:noVBand="0"/>
      </w:tblPr>
      <w:tblGrid>
        <w:gridCol w:w="1516"/>
        <w:gridCol w:w="5787"/>
        <w:gridCol w:w="1767"/>
      </w:tblGrid>
      <w:tr w:rsidR="00CA353F" w14:paraId="0DA54F16" w14:textId="77777777">
        <w:trPr>
          <w:trHeight w:val="270"/>
        </w:trPr>
        <w:tc>
          <w:tcPr>
            <w:tcW w:w="1442" w:type="dxa"/>
            <w:tcBorders>
              <w:top w:val="single" w:sz="8" w:space="0" w:color="auto"/>
              <w:left w:val="single" w:sz="8" w:space="0" w:color="auto"/>
              <w:bottom w:val="nil"/>
              <w:right w:val="single" w:sz="4" w:space="0" w:color="auto"/>
            </w:tcBorders>
            <w:shd w:val="clear" w:color="auto" w:fill="auto"/>
            <w:noWrap/>
            <w:vAlign w:val="center"/>
          </w:tcPr>
          <w:p w14:paraId="0DA54F13" w14:textId="77777777" w:rsidR="00CA353F" w:rsidRDefault="002C3F58">
            <w:pPr>
              <w:jc w:val="center"/>
              <w:rPr>
                <w:b/>
                <w:bCs/>
              </w:rPr>
            </w:pPr>
            <w:r>
              <w:rPr>
                <w:b/>
                <w:bCs/>
              </w:rPr>
              <w:t>Eil. Nr.</w:t>
            </w:r>
          </w:p>
        </w:tc>
        <w:tc>
          <w:tcPr>
            <w:tcW w:w="5506" w:type="dxa"/>
            <w:tcBorders>
              <w:top w:val="single" w:sz="8" w:space="0" w:color="auto"/>
              <w:left w:val="nil"/>
              <w:bottom w:val="nil"/>
              <w:right w:val="nil"/>
            </w:tcBorders>
            <w:shd w:val="clear" w:color="auto" w:fill="auto"/>
            <w:noWrap/>
            <w:vAlign w:val="center"/>
          </w:tcPr>
          <w:p w14:paraId="0DA54F14" w14:textId="77777777" w:rsidR="00CA353F" w:rsidRDefault="002C3F58">
            <w:pPr>
              <w:jc w:val="center"/>
              <w:rPr>
                <w:b/>
                <w:bCs/>
              </w:rPr>
            </w:pPr>
            <w:r>
              <w:rPr>
                <w:b/>
                <w:bCs/>
              </w:rPr>
              <w:t>Ilgalaikio turto grupė</w:t>
            </w:r>
          </w:p>
        </w:tc>
        <w:tc>
          <w:tcPr>
            <w:tcW w:w="1681"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DA54F15" w14:textId="77777777" w:rsidR="00CA353F" w:rsidRDefault="002C3F58">
            <w:pPr>
              <w:jc w:val="center"/>
              <w:rPr>
                <w:b/>
                <w:bCs/>
              </w:rPr>
            </w:pPr>
            <w:r>
              <w:rPr>
                <w:b/>
                <w:bCs/>
              </w:rPr>
              <w:t>Normatyvai, metais</w:t>
            </w:r>
          </w:p>
        </w:tc>
      </w:tr>
      <w:tr w:rsidR="00CA353F" w14:paraId="0DA54F1A" w14:textId="77777777">
        <w:trPr>
          <w:trHeight w:val="270"/>
        </w:trPr>
        <w:tc>
          <w:tcPr>
            <w:tcW w:w="144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DA54F17" w14:textId="77777777" w:rsidR="00CA353F" w:rsidRDefault="002C3F58">
            <w:pPr>
              <w:jc w:val="center"/>
            </w:pPr>
            <w:r>
              <w:t>1</w:t>
            </w:r>
          </w:p>
        </w:tc>
        <w:tc>
          <w:tcPr>
            <w:tcW w:w="5506" w:type="dxa"/>
            <w:tcBorders>
              <w:top w:val="single" w:sz="8" w:space="0" w:color="auto"/>
              <w:left w:val="nil"/>
              <w:bottom w:val="single" w:sz="8" w:space="0" w:color="auto"/>
              <w:right w:val="nil"/>
            </w:tcBorders>
            <w:shd w:val="clear" w:color="auto" w:fill="auto"/>
            <w:noWrap/>
            <w:vAlign w:val="center"/>
          </w:tcPr>
          <w:p w14:paraId="0DA54F18" w14:textId="77777777" w:rsidR="00CA353F" w:rsidRDefault="002C3F58">
            <w:pPr>
              <w:jc w:val="center"/>
            </w:pPr>
            <w:r>
              <w:t>2</w:t>
            </w:r>
          </w:p>
        </w:tc>
        <w:tc>
          <w:tcPr>
            <w:tcW w:w="1681"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DA54F19" w14:textId="77777777" w:rsidR="00CA353F" w:rsidRDefault="002C3F58">
            <w:pPr>
              <w:jc w:val="center"/>
            </w:pPr>
            <w:r>
              <w:t>3</w:t>
            </w:r>
          </w:p>
        </w:tc>
      </w:tr>
      <w:tr w:rsidR="00CA353F" w14:paraId="0DA54F1E" w14:textId="77777777">
        <w:trPr>
          <w:trHeight w:val="255"/>
        </w:trPr>
        <w:tc>
          <w:tcPr>
            <w:tcW w:w="1442" w:type="dxa"/>
            <w:tcBorders>
              <w:top w:val="nil"/>
              <w:left w:val="single" w:sz="8" w:space="0" w:color="auto"/>
              <w:bottom w:val="single" w:sz="4" w:space="0" w:color="auto"/>
              <w:right w:val="single" w:sz="4" w:space="0" w:color="auto"/>
            </w:tcBorders>
            <w:shd w:val="clear" w:color="auto" w:fill="auto"/>
            <w:noWrap/>
            <w:vAlign w:val="bottom"/>
          </w:tcPr>
          <w:p w14:paraId="0DA54F1B" w14:textId="77777777" w:rsidR="00CA353F" w:rsidRDefault="002C3F58">
            <w:pPr>
              <w:rPr>
                <w:b/>
                <w:bCs/>
              </w:rPr>
            </w:pPr>
            <w:r>
              <w:rPr>
                <w:b/>
                <w:bCs/>
              </w:rPr>
              <w:t>1.</w:t>
            </w:r>
          </w:p>
        </w:tc>
        <w:tc>
          <w:tcPr>
            <w:tcW w:w="5506" w:type="dxa"/>
            <w:tcBorders>
              <w:top w:val="nil"/>
              <w:left w:val="nil"/>
              <w:bottom w:val="single" w:sz="4" w:space="0" w:color="auto"/>
              <w:right w:val="nil"/>
            </w:tcBorders>
            <w:shd w:val="clear" w:color="auto" w:fill="auto"/>
            <w:noWrap/>
            <w:vAlign w:val="bottom"/>
          </w:tcPr>
          <w:p w14:paraId="0DA54F1C" w14:textId="77777777" w:rsidR="00CA353F" w:rsidRDefault="002C3F58">
            <w:pPr>
              <w:rPr>
                <w:b/>
                <w:bCs/>
              </w:rPr>
            </w:pPr>
            <w:r>
              <w:rPr>
                <w:b/>
                <w:bCs/>
              </w:rPr>
              <w:t>ILGALAIKIS NEMATERIALUSIS TURTAS</w:t>
            </w:r>
          </w:p>
        </w:tc>
        <w:tc>
          <w:tcPr>
            <w:tcW w:w="1681" w:type="dxa"/>
            <w:tcBorders>
              <w:top w:val="single" w:sz="8" w:space="0" w:color="auto"/>
              <w:left w:val="single" w:sz="8" w:space="0" w:color="auto"/>
              <w:bottom w:val="nil"/>
              <w:right w:val="single" w:sz="8" w:space="0" w:color="000000"/>
            </w:tcBorders>
            <w:shd w:val="clear" w:color="auto" w:fill="auto"/>
            <w:noWrap/>
            <w:vAlign w:val="bottom"/>
          </w:tcPr>
          <w:p w14:paraId="0DA54F1D" w14:textId="77777777" w:rsidR="00CA353F" w:rsidRDefault="002C3F58">
            <w:pPr>
              <w:jc w:val="center"/>
            </w:pPr>
            <w:r>
              <w:t>4–15</w:t>
            </w:r>
          </w:p>
        </w:tc>
      </w:tr>
      <w:tr w:rsidR="00CA353F" w14:paraId="0DA54F22" w14:textId="77777777">
        <w:trPr>
          <w:trHeight w:val="255"/>
        </w:trPr>
        <w:tc>
          <w:tcPr>
            <w:tcW w:w="1442" w:type="dxa"/>
            <w:tcBorders>
              <w:top w:val="nil"/>
              <w:left w:val="single" w:sz="8" w:space="0" w:color="auto"/>
              <w:bottom w:val="single" w:sz="4" w:space="0" w:color="auto"/>
              <w:right w:val="single" w:sz="4" w:space="0" w:color="auto"/>
            </w:tcBorders>
            <w:shd w:val="clear" w:color="auto" w:fill="auto"/>
            <w:noWrap/>
            <w:vAlign w:val="bottom"/>
          </w:tcPr>
          <w:p w14:paraId="0DA54F1F" w14:textId="77777777" w:rsidR="00CA353F" w:rsidRDefault="002C3F58">
            <w:pPr>
              <w:rPr>
                <w:b/>
                <w:bCs/>
              </w:rPr>
            </w:pPr>
            <w:r>
              <w:rPr>
                <w:b/>
                <w:bCs/>
              </w:rPr>
              <w:t>2.</w:t>
            </w:r>
          </w:p>
        </w:tc>
        <w:tc>
          <w:tcPr>
            <w:tcW w:w="5506" w:type="dxa"/>
            <w:tcBorders>
              <w:top w:val="nil"/>
              <w:left w:val="nil"/>
              <w:bottom w:val="single" w:sz="4" w:space="0" w:color="auto"/>
              <w:right w:val="nil"/>
            </w:tcBorders>
            <w:shd w:val="clear" w:color="auto" w:fill="auto"/>
            <w:noWrap/>
            <w:vAlign w:val="bottom"/>
          </w:tcPr>
          <w:p w14:paraId="0DA54F20" w14:textId="77777777" w:rsidR="00CA353F" w:rsidRDefault="002C3F58">
            <w:pPr>
              <w:rPr>
                <w:b/>
                <w:bCs/>
              </w:rPr>
            </w:pPr>
            <w:r>
              <w:rPr>
                <w:b/>
                <w:bCs/>
              </w:rPr>
              <w:t>ILGALAIKIS MATERIALUSIS TURTAS</w:t>
            </w:r>
          </w:p>
        </w:tc>
        <w:tc>
          <w:tcPr>
            <w:tcW w:w="1681" w:type="dxa"/>
            <w:tcBorders>
              <w:top w:val="single" w:sz="4" w:space="0" w:color="auto"/>
              <w:left w:val="single" w:sz="8" w:space="0" w:color="auto"/>
              <w:bottom w:val="single" w:sz="4" w:space="0" w:color="auto"/>
              <w:right w:val="single" w:sz="8" w:space="0" w:color="000000"/>
            </w:tcBorders>
            <w:shd w:val="clear" w:color="auto" w:fill="auto"/>
            <w:noWrap/>
            <w:vAlign w:val="bottom"/>
          </w:tcPr>
          <w:p w14:paraId="0DA54F21" w14:textId="77777777" w:rsidR="00CA353F" w:rsidRDefault="00CA353F">
            <w:pPr>
              <w:ind w:firstLine="60"/>
              <w:jc w:val="center"/>
            </w:pPr>
          </w:p>
        </w:tc>
      </w:tr>
      <w:tr w:rsidR="00CA353F" w14:paraId="0DA54F26" w14:textId="77777777">
        <w:trPr>
          <w:trHeight w:val="255"/>
        </w:trPr>
        <w:tc>
          <w:tcPr>
            <w:tcW w:w="1442" w:type="dxa"/>
            <w:tcBorders>
              <w:top w:val="nil"/>
              <w:left w:val="single" w:sz="8" w:space="0" w:color="auto"/>
              <w:bottom w:val="single" w:sz="4" w:space="0" w:color="auto"/>
              <w:right w:val="single" w:sz="4" w:space="0" w:color="auto"/>
            </w:tcBorders>
            <w:shd w:val="clear" w:color="auto" w:fill="auto"/>
            <w:noWrap/>
            <w:vAlign w:val="bottom"/>
          </w:tcPr>
          <w:p w14:paraId="0DA54F23" w14:textId="77777777" w:rsidR="00CA353F" w:rsidRDefault="002C3F58">
            <w:r>
              <w:t>2.1.</w:t>
            </w:r>
          </w:p>
        </w:tc>
        <w:tc>
          <w:tcPr>
            <w:tcW w:w="5506" w:type="dxa"/>
            <w:tcBorders>
              <w:top w:val="nil"/>
              <w:left w:val="nil"/>
              <w:bottom w:val="single" w:sz="4" w:space="0" w:color="auto"/>
              <w:right w:val="nil"/>
            </w:tcBorders>
            <w:shd w:val="clear" w:color="auto" w:fill="auto"/>
            <w:noWrap/>
            <w:vAlign w:val="bottom"/>
          </w:tcPr>
          <w:p w14:paraId="0DA54F24" w14:textId="77777777" w:rsidR="00CA353F" w:rsidRDefault="002C3F58">
            <w:r>
              <w:t>Pastatai ir statiniai</w:t>
            </w:r>
          </w:p>
        </w:tc>
        <w:tc>
          <w:tcPr>
            <w:tcW w:w="1681" w:type="dxa"/>
            <w:tcBorders>
              <w:top w:val="nil"/>
              <w:left w:val="single" w:sz="8" w:space="0" w:color="auto"/>
              <w:bottom w:val="nil"/>
              <w:right w:val="single" w:sz="8" w:space="0" w:color="000000"/>
            </w:tcBorders>
            <w:shd w:val="clear" w:color="auto" w:fill="auto"/>
            <w:noWrap/>
            <w:vAlign w:val="bottom"/>
          </w:tcPr>
          <w:p w14:paraId="0DA54F25" w14:textId="77777777" w:rsidR="00CA353F" w:rsidRDefault="002C3F58">
            <w:pPr>
              <w:jc w:val="center"/>
            </w:pPr>
            <w:r>
              <w:t>60</w:t>
            </w:r>
          </w:p>
        </w:tc>
      </w:tr>
      <w:tr w:rsidR="00CA353F" w14:paraId="0DA54F2A" w14:textId="77777777">
        <w:trPr>
          <w:trHeight w:val="255"/>
        </w:trPr>
        <w:tc>
          <w:tcPr>
            <w:tcW w:w="1442" w:type="dxa"/>
            <w:tcBorders>
              <w:top w:val="nil"/>
              <w:left w:val="single" w:sz="8" w:space="0" w:color="auto"/>
              <w:bottom w:val="single" w:sz="4" w:space="0" w:color="auto"/>
              <w:right w:val="single" w:sz="4" w:space="0" w:color="auto"/>
            </w:tcBorders>
            <w:shd w:val="clear" w:color="auto" w:fill="auto"/>
            <w:noWrap/>
            <w:vAlign w:val="bottom"/>
          </w:tcPr>
          <w:p w14:paraId="0DA54F27" w14:textId="77777777" w:rsidR="00CA353F" w:rsidRDefault="002C3F58">
            <w:r>
              <w:t>2.2.</w:t>
            </w:r>
          </w:p>
        </w:tc>
        <w:tc>
          <w:tcPr>
            <w:tcW w:w="5506" w:type="dxa"/>
            <w:tcBorders>
              <w:top w:val="nil"/>
              <w:left w:val="nil"/>
              <w:bottom w:val="single" w:sz="4" w:space="0" w:color="auto"/>
              <w:right w:val="nil"/>
            </w:tcBorders>
            <w:shd w:val="clear" w:color="auto" w:fill="auto"/>
            <w:noWrap/>
            <w:vAlign w:val="bottom"/>
          </w:tcPr>
          <w:p w14:paraId="0DA54F28" w14:textId="77777777" w:rsidR="00CA353F" w:rsidRDefault="002C3F58">
            <w:r>
              <w:t>Transporto priemonės</w:t>
            </w:r>
          </w:p>
        </w:tc>
        <w:tc>
          <w:tcPr>
            <w:tcW w:w="1681" w:type="dxa"/>
            <w:tcBorders>
              <w:top w:val="single" w:sz="4" w:space="0" w:color="auto"/>
              <w:left w:val="single" w:sz="8" w:space="0" w:color="auto"/>
              <w:bottom w:val="single" w:sz="4" w:space="0" w:color="auto"/>
              <w:right w:val="single" w:sz="8" w:space="0" w:color="000000"/>
            </w:tcBorders>
            <w:shd w:val="clear" w:color="auto" w:fill="auto"/>
            <w:noWrap/>
            <w:vAlign w:val="bottom"/>
          </w:tcPr>
          <w:p w14:paraId="0DA54F29" w14:textId="77777777" w:rsidR="00CA353F" w:rsidRDefault="002C3F58">
            <w:pPr>
              <w:jc w:val="center"/>
            </w:pPr>
            <w:r>
              <w:t>6</w:t>
            </w:r>
          </w:p>
        </w:tc>
      </w:tr>
      <w:tr w:rsidR="00CA353F" w14:paraId="0DA54F2E" w14:textId="77777777">
        <w:trPr>
          <w:trHeight w:val="255"/>
        </w:trPr>
        <w:tc>
          <w:tcPr>
            <w:tcW w:w="1442" w:type="dxa"/>
            <w:tcBorders>
              <w:top w:val="nil"/>
              <w:left w:val="single" w:sz="8" w:space="0" w:color="auto"/>
              <w:bottom w:val="single" w:sz="4" w:space="0" w:color="auto"/>
              <w:right w:val="single" w:sz="4" w:space="0" w:color="auto"/>
            </w:tcBorders>
            <w:shd w:val="clear" w:color="auto" w:fill="auto"/>
            <w:noWrap/>
            <w:vAlign w:val="bottom"/>
          </w:tcPr>
          <w:p w14:paraId="0DA54F2B" w14:textId="77777777" w:rsidR="00CA353F" w:rsidRDefault="002C3F58">
            <w:r>
              <w:t>2.3.</w:t>
            </w:r>
          </w:p>
        </w:tc>
        <w:tc>
          <w:tcPr>
            <w:tcW w:w="5506" w:type="dxa"/>
            <w:tcBorders>
              <w:top w:val="nil"/>
              <w:left w:val="nil"/>
              <w:bottom w:val="single" w:sz="4" w:space="0" w:color="auto"/>
              <w:right w:val="nil"/>
            </w:tcBorders>
            <w:shd w:val="clear" w:color="auto" w:fill="auto"/>
            <w:noWrap/>
            <w:vAlign w:val="bottom"/>
          </w:tcPr>
          <w:p w14:paraId="0DA54F2C" w14:textId="77777777" w:rsidR="00CA353F" w:rsidRDefault="002C3F58">
            <w:r>
              <w:t>Kompiuteriai, kompiuteriniai tinklai ir jų įranga</w:t>
            </w:r>
          </w:p>
        </w:tc>
        <w:tc>
          <w:tcPr>
            <w:tcW w:w="1681" w:type="dxa"/>
            <w:tcBorders>
              <w:top w:val="nil"/>
              <w:left w:val="single" w:sz="8" w:space="0" w:color="auto"/>
              <w:bottom w:val="nil"/>
              <w:right w:val="single" w:sz="8" w:space="0" w:color="000000"/>
            </w:tcBorders>
            <w:shd w:val="clear" w:color="auto" w:fill="auto"/>
            <w:noWrap/>
            <w:vAlign w:val="bottom"/>
          </w:tcPr>
          <w:p w14:paraId="0DA54F2D" w14:textId="77777777" w:rsidR="00CA353F" w:rsidRDefault="002C3F58">
            <w:pPr>
              <w:jc w:val="center"/>
            </w:pPr>
            <w:r>
              <w:t>4</w:t>
            </w:r>
          </w:p>
        </w:tc>
      </w:tr>
      <w:tr w:rsidR="00CA353F" w14:paraId="0DA54F32" w14:textId="77777777">
        <w:trPr>
          <w:trHeight w:val="255"/>
        </w:trPr>
        <w:tc>
          <w:tcPr>
            <w:tcW w:w="1442" w:type="dxa"/>
            <w:tcBorders>
              <w:top w:val="nil"/>
              <w:left w:val="single" w:sz="8" w:space="0" w:color="auto"/>
              <w:bottom w:val="single" w:sz="4" w:space="0" w:color="auto"/>
              <w:right w:val="single" w:sz="4" w:space="0" w:color="auto"/>
            </w:tcBorders>
            <w:shd w:val="clear" w:color="auto" w:fill="auto"/>
            <w:noWrap/>
            <w:vAlign w:val="bottom"/>
          </w:tcPr>
          <w:p w14:paraId="0DA54F2F" w14:textId="77777777" w:rsidR="00CA353F" w:rsidRDefault="002C3F58">
            <w:r>
              <w:t>2.4.</w:t>
            </w:r>
          </w:p>
        </w:tc>
        <w:tc>
          <w:tcPr>
            <w:tcW w:w="5506" w:type="dxa"/>
            <w:tcBorders>
              <w:top w:val="nil"/>
              <w:left w:val="nil"/>
              <w:bottom w:val="single" w:sz="4" w:space="0" w:color="auto"/>
              <w:right w:val="nil"/>
            </w:tcBorders>
            <w:shd w:val="clear" w:color="auto" w:fill="auto"/>
            <w:noWrap/>
            <w:vAlign w:val="bottom"/>
          </w:tcPr>
          <w:p w14:paraId="0DA54F30" w14:textId="77777777" w:rsidR="00CA353F" w:rsidRDefault="002C3F58">
            <w:r>
              <w:t>Kita įranga, prietaisai, įrenginiai</w:t>
            </w:r>
          </w:p>
        </w:tc>
        <w:tc>
          <w:tcPr>
            <w:tcW w:w="1681" w:type="dxa"/>
            <w:tcBorders>
              <w:top w:val="single" w:sz="4" w:space="0" w:color="auto"/>
              <w:left w:val="single" w:sz="8" w:space="0" w:color="auto"/>
              <w:bottom w:val="single" w:sz="4" w:space="0" w:color="auto"/>
              <w:right w:val="single" w:sz="8" w:space="0" w:color="000000"/>
            </w:tcBorders>
            <w:shd w:val="clear" w:color="auto" w:fill="auto"/>
            <w:noWrap/>
            <w:vAlign w:val="bottom"/>
          </w:tcPr>
          <w:p w14:paraId="0DA54F31" w14:textId="77777777" w:rsidR="00CA353F" w:rsidRDefault="002C3F58">
            <w:pPr>
              <w:jc w:val="center"/>
            </w:pPr>
            <w:r>
              <w:t>4</w:t>
            </w:r>
          </w:p>
        </w:tc>
      </w:tr>
      <w:tr w:rsidR="00CA353F" w14:paraId="0DA54F36" w14:textId="77777777">
        <w:trPr>
          <w:trHeight w:val="270"/>
        </w:trPr>
        <w:tc>
          <w:tcPr>
            <w:tcW w:w="1442" w:type="dxa"/>
            <w:tcBorders>
              <w:top w:val="nil"/>
              <w:left w:val="single" w:sz="8" w:space="0" w:color="auto"/>
              <w:bottom w:val="single" w:sz="8" w:space="0" w:color="auto"/>
              <w:right w:val="single" w:sz="4" w:space="0" w:color="auto"/>
            </w:tcBorders>
            <w:shd w:val="clear" w:color="auto" w:fill="auto"/>
            <w:noWrap/>
            <w:vAlign w:val="bottom"/>
          </w:tcPr>
          <w:p w14:paraId="0DA54F33" w14:textId="77777777" w:rsidR="00CA353F" w:rsidRDefault="002C3F58">
            <w:r>
              <w:t>2.5.</w:t>
            </w:r>
          </w:p>
        </w:tc>
        <w:tc>
          <w:tcPr>
            <w:tcW w:w="5506" w:type="dxa"/>
            <w:tcBorders>
              <w:top w:val="nil"/>
              <w:left w:val="nil"/>
              <w:bottom w:val="single" w:sz="8" w:space="0" w:color="auto"/>
              <w:right w:val="nil"/>
            </w:tcBorders>
            <w:shd w:val="clear" w:color="auto" w:fill="auto"/>
            <w:noWrap/>
            <w:vAlign w:val="bottom"/>
          </w:tcPr>
          <w:p w14:paraId="0DA54F34" w14:textId="77777777" w:rsidR="00CA353F" w:rsidRDefault="002C3F58">
            <w:r>
              <w:t>Kitas ilgalaikis materialusis turtas</w:t>
            </w:r>
          </w:p>
        </w:tc>
        <w:tc>
          <w:tcPr>
            <w:tcW w:w="1681" w:type="dxa"/>
            <w:tcBorders>
              <w:top w:val="nil"/>
              <w:left w:val="single" w:sz="8" w:space="0" w:color="auto"/>
              <w:bottom w:val="single" w:sz="8" w:space="0" w:color="auto"/>
              <w:right w:val="single" w:sz="8" w:space="0" w:color="000000"/>
            </w:tcBorders>
            <w:shd w:val="clear" w:color="auto" w:fill="auto"/>
            <w:noWrap/>
            <w:vAlign w:val="bottom"/>
          </w:tcPr>
          <w:p w14:paraId="0DA54F35" w14:textId="77777777" w:rsidR="00CA353F" w:rsidRDefault="002C3F58">
            <w:pPr>
              <w:jc w:val="center"/>
            </w:pPr>
            <w:r>
              <w:t>6</w:t>
            </w:r>
          </w:p>
        </w:tc>
      </w:tr>
    </w:tbl>
    <w:p w14:paraId="0DA54F37" w14:textId="77777777" w:rsidR="00CA353F" w:rsidRDefault="00CA353F">
      <w:pPr>
        <w:ind w:firstLine="567"/>
        <w:jc w:val="both"/>
      </w:pPr>
    </w:p>
    <w:p w14:paraId="0DA54F38" w14:textId="77777777" w:rsidR="00CA353F" w:rsidRDefault="002C3F58">
      <w:pPr>
        <w:jc w:val="center"/>
      </w:pPr>
      <w:r>
        <w:t>_________________</w:t>
      </w:r>
    </w:p>
    <w:p w14:paraId="0DA54F39" w14:textId="77777777" w:rsidR="00CA353F" w:rsidRDefault="00CA353F">
      <w:pPr>
        <w:ind w:firstLine="567"/>
        <w:jc w:val="both"/>
      </w:pPr>
    </w:p>
    <w:p w14:paraId="0DA54F3A" w14:textId="77777777" w:rsidR="00CA353F" w:rsidRDefault="00B57BD2"/>
    <w:sectPr w:rsidR="00CA353F">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2B"/>
    <w:rsid w:val="0002012B"/>
    <w:rsid w:val="00296F4A"/>
    <w:rsid w:val="002C3F58"/>
    <w:rsid w:val="00B57BD2"/>
    <w:rsid w:val="00CA353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0DA5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C3F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C3F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73332">
      <w:bodyDiv w:val="1"/>
      <w:marLeft w:val="0"/>
      <w:marRight w:val="0"/>
      <w:marTop w:val="0"/>
      <w:marBottom w:val="0"/>
      <w:divBdr>
        <w:top w:val="none" w:sz="0" w:space="0" w:color="auto"/>
        <w:left w:val="none" w:sz="0" w:space="0" w:color="auto"/>
        <w:bottom w:val="none" w:sz="0" w:space="0" w:color="auto"/>
        <w:right w:val="none" w:sz="0" w:space="0" w:color="auto"/>
      </w:divBdr>
    </w:div>
    <w:div w:id="960577425">
      <w:bodyDiv w:val="1"/>
      <w:marLeft w:val="0"/>
      <w:marRight w:val="0"/>
      <w:marTop w:val="0"/>
      <w:marBottom w:val="0"/>
      <w:divBdr>
        <w:top w:val="none" w:sz="0" w:space="0" w:color="auto"/>
        <w:left w:val="none" w:sz="0" w:space="0" w:color="auto"/>
        <w:bottom w:val="none" w:sz="0" w:space="0" w:color="auto"/>
        <w:right w:val="none" w:sz="0" w:space="0" w:color="auto"/>
      </w:divBdr>
    </w:div>
    <w:div w:id="1113600357">
      <w:bodyDiv w:val="1"/>
      <w:marLeft w:val="0"/>
      <w:marRight w:val="0"/>
      <w:marTop w:val="0"/>
      <w:marBottom w:val="0"/>
      <w:divBdr>
        <w:top w:val="none" w:sz="0" w:space="0" w:color="auto"/>
        <w:left w:val="none" w:sz="0" w:space="0" w:color="auto"/>
        <w:bottom w:val="none" w:sz="0" w:space="0" w:color="auto"/>
        <w:right w:val="none" w:sz="0" w:space="0" w:color="auto"/>
      </w:divBdr>
    </w:div>
    <w:div w:id="12065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C5C33AA865C"/>
  <Relationship Id="rId11" Type="http://schemas.openxmlformats.org/officeDocument/2006/relationships/hyperlink" TargetMode="External" Target="https://www.e-tar.lt/portal/lt/legalAct/TAR.9CA9E36B4EA1"/>
  <Relationship Id="rId12" Type="http://schemas.openxmlformats.org/officeDocument/2006/relationships/hyperlink" TargetMode="External" Target="https://www.e-tar.lt/portal/lt/legalAct/TAR.77DCF8857C6E"/>
  <Relationship Id="rId13" Type="http://schemas.openxmlformats.org/officeDocument/2006/relationships/hyperlink" TargetMode="External" Target="https://www.e-tar.lt/portal/lt/legalAct/TAR.44235B485568"/>
  <Relationship Id="rId14" Type="http://schemas.openxmlformats.org/officeDocument/2006/relationships/hyperlink" TargetMode="External" Target="https://www.e-tar.lt/portal/lt/legalAct/TAR.0C5C33AA865C"/>
  <Relationship Id="rId15" Type="http://schemas.openxmlformats.org/officeDocument/2006/relationships/hyperlink" TargetMode="External" Target="https://www.e-tar.lt/portal/lt/legalAct/TAR.9CA9E36B4EA1"/>
  <Relationship Id="rId16" Type="http://schemas.openxmlformats.org/officeDocument/2006/relationships/image" Target="media/image2.png"/>
  <Relationship Id="rId17" Type="http://schemas.openxmlformats.org/officeDocument/2006/relationships/image" Target="media/image3.png"/>
  <Relationship Id="rId18" Type="http://schemas.openxmlformats.org/officeDocument/2006/relationships/image" Target="media/image4.png"/>
  <Relationship Id="rId19" Type="http://schemas.openxmlformats.org/officeDocument/2006/relationships/image" Target="media/image5.png"/>
  <Relationship Id="rId2" Type="http://schemas.openxmlformats.org/officeDocument/2006/relationships/styles" Target="styles.xml"/>
  <Relationship Id="rId20" Type="http://schemas.openxmlformats.org/officeDocument/2006/relationships/image" Target="media/image6.png"/>
  <Relationship Id="rId21" Type="http://schemas.openxmlformats.org/officeDocument/2006/relationships/image" Target="media/image7.png"/>
  <Relationship Id="rId22" Type="http://schemas.openxmlformats.org/officeDocument/2006/relationships/image" Target="media/image8.png"/>
  <Relationship Id="rId23" Type="http://schemas.openxmlformats.org/officeDocument/2006/relationships/image" Target="media/image9.png"/>
  <Relationship Id="rId24" Type="http://schemas.openxmlformats.org/officeDocument/2006/relationships/image" Target="media/image10.png"/>
  <Relationship Id="rId25" Type="http://schemas.openxmlformats.org/officeDocument/2006/relationships/image" Target="media/image11.png"/>
  <Relationship Id="rId26" Type="http://schemas.openxmlformats.org/officeDocument/2006/relationships/image" Target="media/image12.png"/>
  <Relationship Id="rId27" Type="http://schemas.openxmlformats.org/officeDocument/2006/relationships/image" Target="media/image13.png"/>
  <Relationship Id="rId28" Type="http://schemas.openxmlformats.org/officeDocument/2006/relationships/image" Target="media/image14.png"/>
  <Relationship Id="rId29" Type="http://schemas.openxmlformats.org/officeDocument/2006/relationships/image" Target="media/image15.png"/>
  <Relationship Id="rId3" Type="http://schemas.microsoft.com/office/2007/relationships/stylesWithEffects" Target="stylesWithEffects.xml"/>
  <Relationship Id="rId30" Type="http://schemas.openxmlformats.org/officeDocument/2006/relationships/image" Target="media/image16.png"/>
  <Relationship Id="rId31" Type="http://schemas.openxmlformats.org/officeDocument/2006/relationships/image" Target="media/image17.png"/>
  <Relationship Id="rId32" Type="http://schemas.openxmlformats.org/officeDocument/2006/relationships/image" Target="media/image18.png"/>
  <Relationship Id="rId33" Type="http://schemas.openxmlformats.org/officeDocument/2006/relationships/fontTable" Target="fontTable.xml"/>
  <Relationship Id="rId34"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44235B485568"/>
  <Relationship Id="rId9" Type="http://schemas.openxmlformats.org/officeDocument/2006/relationships/hyperlink" TargetMode="External" Target="https://www.e-tar.lt/portal/lt/legalAct/TAR.DA8FE0831A84"/>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23</Pages>
  <Words>26084</Words>
  <Characters>14868</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VALSTYBINĖS KAINŲ IR ENERGETIKOS</vt:lpstr>
    </vt:vector>
  </TitlesOfParts>
  <Company/>
  <LinksUpToDate>false</LinksUpToDate>
  <CharactersWithSpaces>40871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2016-02-29T06:19:00Z</dcterms:created>
  <dc:creator>Rima</dc:creator>
  <lastModifiedBy>DRAZDAUSKIENĖ Nijolė</lastModifiedBy>
  <dcterms:modified xsi:type="dcterms:W3CDTF">2016-04-28T13:08:00Z</dcterms:modified>
  <revision>4</revision>
  <dc:title>VALSTYBINĖS KAINŲ IR ENERGETIKOS</dc:title>
</coreProperties>
</file>