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PINIGINĖS SOCIALINĖS PARAMOS NEPASITURINTIEMS GYVENTOJAMS ĮSTATYMO 4, 23 STRAIPSNIŲ PAKEITIMO IR PAPILDYMO ĮSTATYMAS</w:t>
      </w:r>
    </w:p>
    <w:p>
      <w:pPr>
        <w:widowControl w:val="0"/>
        <w:suppressAutoHyphens/>
        <w:ind w:firstLine="567"/>
        <w:jc w:val="both"/>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lapkričio 26 d. Nr. XII-621 </w:t>
      </w:r>
    </w:p>
    <w:p>
      <w:pPr>
        <w:keepLines/>
        <w:widowControl w:val="0"/>
        <w:suppressAutoHyphens/>
        <w:jc w:val="center"/>
        <w:rPr>
          <w:b/>
          <w:bCs/>
          <w:color w:val="000000"/>
          <w:szCs w:val="24"/>
          <w:lang w:eastAsia="lt-LT"/>
        </w:rPr>
      </w:pPr>
      <w:r>
        <w:rPr>
          <w:color w:val="000000"/>
          <w:szCs w:val="24"/>
          <w:lang w:eastAsia="lt-LT"/>
        </w:rPr>
        <w:t>Vilnius</w:t>
      </w:r>
    </w:p>
    <w:p>
      <w:pPr>
        <w:keepLines/>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(Žin., 2003, Nr. </w:t>
      </w:r>
      <w:fldSimple w:instr="HYPERLINK https://www.e-tar.lt/portal/legalAct.html?documentId=TAR.3EEE59417F13 \t _blank">
        <w:r>
          <w:rPr>
            <w:color w:val="0000FF" w:themeColor="hyperlink"/>
            <w:szCs w:val="24"/>
            <w:lang w:eastAsia="lt-LT"/>
            <w:u w:val="single"/>
          </w:rPr>
          <w:t>73-3352</w:t>
        </w:r>
      </w:fldSimple>
      <w:r>
        <w:rPr>
          <w:color w:val="000000"/>
          <w:szCs w:val="24"/>
          <w:lang w:eastAsia="lt-LT"/>
        </w:rPr>
        <w:t>; 2011, Nr. </w:t>
      </w:r>
      <w:fldSimple w:instr="HYPERLINK https://www.e-tar.lt/portal/legalAct.html?documentId=TAR.AFA734FB8321 \t _blank">
        <w:r>
          <w:rPr>
            <w:color w:val="0000FF" w:themeColor="hyperlink"/>
            <w:szCs w:val="24"/>
            <w:lang w:eastAsia="lt-LT"/>
            <w:u w:val="single"/>
          </w:rPr>
          <w:t>155-7353</w:t>
        </w:r>
      </w:fldSimple>
      <w:r>
        <w:rPr>
          <w:color w:val="000000"/>
          <w:szCs w:val="24"/>
          <w:lang w:eastAsia="lt-LT"/>
        </w:rPr>
        <w:t>; 2013, Nr. </w:t>
      </w:r>
      <w:fldSimple w:instr="HYPERLINK https://www.e-tar.lt/portal/legalAct.html?documentId=TAR.84940DD2397F \t _blank">
        <w:r>
          <w:rPr>
            <w:color w:val="0000FF" w:themeColor="hyperlink"/>
            <w:szCs w:val="24"/>
            <w:lang w:eastAsia="lt-LT"/>
            <w:u w:val="single"/>
          </w:rPr>
          <w:t>57-2861</w:t>
        </w:r>
      </w:fldSimple>
      <w:r>
        <w:rPr>
          <w:color w:val="000000"/>
          <w:szCs w:val="24"/>
          <w:lang w:eastAsia="lt-LT"/>
        </w:rPr>
        <w:t>)</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4 straipsnio pakeitimas</w:t>
      </w:r>
    </w:p>
    <w:p>
      <w:pPr>
        <w:widowControl w:val="0"/>
        <w:suppressAutoHyphens/>
        <w:ind w:firstLine="567"/>
        <w:jc w:val="both"/>
        <w:rPr>
          <w:color w:val="000000"/>
          <w:szCs w:val="24"/>
          <w:lang w:eastAsia="lt-LT"/>
        </w:rPr>
      </w:pPr>
      <w:r>
        <w:rPr>
          <w:color w:val="000000"/>
          <w:szCs w:val="24"/>
          <w:lang w:eastAsia="lt-LT"/>
        </w:rPr>
        <w:t>Pakeisti 4 straipsnį ir jį išdėstyti taip:</w:t>
      </w:r>
    </w:p>
    <w:p>
      <w:pPr>
        <w:widowControl w:val="0"/>
        <w:suppressAutoHyphens/>
        <w:ind w:firstLine="567"/>
        <w:jc w:val="both"/>
        <w:rPr>
          <w:color w:val="000000"/>
          <w:szCs w:val="24"/>
          <w:lang w:eastAsia="lt-LT"/>
        </w:rPr>
      </w:pPr>
    </w:p>
    <w:p>
      <w:pPr>
        <w:widowControl w:val="0"/>
        <w:suppressAutoHyphens/>
        <w:ind w:firstLine="567"/>
        <w:rPr>
          <w:color w:val="000000"/>
          <w:szCs w:val="24"/>
          <w:lang w:eastAsia="lt-LT"/>
        </w:rPr>
      </w:pPr>
      <w:r>
        <w:rPr>
          <w:color w:val="000000"/>
          <w:szCs w:val="24"/>
          <w:lang w:eastAsia="lt-LT"/>
        </w:rPr>
        <w:t>„</w:t>
      </w:r>
      <w:r>
        <w:rPr>
          <w:b/>
          <w:bCs/>
          <w:color w:val="000000"/>
          <w:szCs w:val="24"/>
          <w:lang w:eastAsia="lt-LT"/>
        </w:rPr>
        <w:t>4</w:t>
      </w:r>
      <w:r>
        <w:rPr>
          <w:b/>
          <w:bCs/>
          <w:color w:val="000000"/>
          <w:szCs w:val="24"/>
          <w:lang w:eastAsia="lt-LT"/>
        </w:rPr>
        <w:t xml:space="preserve"> straipsnis. </w:t>
      </w:r>
      <w:r>
        <w:rPr>
          <w:b/>
          <w:bCs/>
          <w:color w:val="000000"/>
          <w:szCs w:val="24"/>
          <w:lang w:eastAsia="lt-LT"/>
        </w:rPr>
        <w:t>Piniginės socialinės paramos teikimo vykdymas ir finansavimas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Socialinės pašalpos teikimo vykdymas ir finansavimas: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socialinę pašalpą savivaldybės teikia vykdydamos savarankiškąją savivaldybių funkciją, kuri yra finansuojama iš savivaldybių biudžetų lėšų;</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savivaldybės taryba tvirtina socialinės pašalpos teikimo tvarkos aprašą; jame nustato: socialinės pašalpos skyrimo ir mokėjimo tvarką (dėl prašymų-paraiškų priėmimo; trūkstamų dokumentų pateikimo; duomenų apie turtą pateikimo; socialinės pašalpos skyrimo ir mokėjimo; prašymus-paraiškas pateikusių asmenų informavimo dėl socialinės pašalpos skyrimo ar neskyrimo; neteisėtai gautos ar išmokėtos socialinės pašalpos išskaičiavimo; paskirtos, bet laiku neatsiimtos socialinės pašalpos, taip pat mirus asmeniui, kurio vardu bendrai gyvenantiems asmenims mokama socialinė pašalpa, arba mirus vienam gyvenančiam asmeniui, paskirtos ir iki kito mėnesio po jo mirties neišmokėtos socialinės pašalpos išmokėjimo procedūros); pagrindus, kuriems esant socialinė pašalpa didinama, mažinama, sustabdomas, nutraukiamas ar atnaujinamas jos mokėjimas, socialinė pašalpa skiriama ne visiems bendrai gyvenantiems asmenims arba ji skiriama kitais atvejais; socialinės pašalpos teikimo nepinigine forma būdus; nepasiturinčių gyventojų grupes (patyrusių socialinę riziką, nevykdančių savivaldybės tarybos nustatytų pareigų ir pan.), kurioms socialinė pašalpa teikiama šio įstatymo 22 straipsnio 1 dalies 2 ar 3 punkte nustatytais būdais; minimalų neišmokamos socialinės pašalpos dydį; socialinę pašalpą gaunančių asmenų teises ir pareigas; savivaldybės administracijos ir bendruomeninių organizacijų ir (ar) religinių bendruomenių, ir (ar) religinių bendrijų, ir (ar) kitų nevyriausybinių organizacijų atstovų ir (ar) gyvenamosios vietovės bendruomenės narių, ir (ar) seniūnaičių, ir (ar) kitų suinteresuotų asmenų teises ir pareigas teikiant socialinę pašalpą;</w:t>
      </w:r>
    </w:p>
    <w:p>
      <w:pPr>
        <w:widowControl w:val="0"/>
        <w:suppressAutoHyphens/>
        <w:ind w:firstLine="567"/>
        <w:jc w:val="both"/>
        <w:rPr>
          <w:color w:val="000000"/>
          <w:spacing w:val="-6"/>
          <w:szCs w:val="24"/>
          <w:lang w:eastAsia="lt-LT"/>
        </w:rPr>
      </w:pPr>
      <w:r>
        <w:rPr>
          <w:color w:val="000000"/>
          <w:spacing w:val="-6"/>
          <w:szCs w:val="24"/>
          <w:lang w:eastAsia="lt-LT"/>
        </w:rPr>
        <w:t>3</w:t>
      </w:r>
      <w:r>
        <w:rPr>
          <w:color w:val="000000"/>
          <w:spacing w:val="-6"/>
          <w:szCs w:val="24"/>
          <w:lang w:eastAsia="lt-LT"/>
        </w:rPr>
        <w:t>) savivaldybėms, išskyrus šio įstatymo 28 straipsnio 1 dalyje nurodytas savivaldybes, 2014 metams socialinei pašalpai finansuoti skiriama 2012 metais socialinei pašalpai skaičiuoti ir mokėti faktiškai panaudotų valstybės biudžeto lėšų dydžio lėšų suma.</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Vykdant savarankiškąją savivaldybių funkciją, socialinė pašalpa teikiama taikant šio įstatymo nuostatas tiek, kiek socialinės pašalpos teikimo nereglamentuoja šio straipsnio 1 dalies nuostatos.</w:t>
      </w:r>
    </w:p>
    <w:p>
      <w:pPr>
        <w:widowControl w:val="0"/>
        <w:suppressAutoHyphens/>
        <w:ind w:firstLine="567"/>
        <w:jc w:val="both"/>
        <w:rPr>
          <w:color w:val="000000"/>
          <w:spacing w:val="-6"/>
          <w:szCs w:val="24"/>
          <w:lang w:eastAsia="lt-LT"/>
        </w:rPr>
      </w:pPr>
      <w:r>
        <w:rPr>
          <w:color w:val="000000"/>
          <w:spacing w:val="-6"/>
          <w:szCs w:val="24"/>
          <w:lang w:eastAsia="lt-LT"/>
        </w:rPr>
        <w:t>3</w:t>
      </w:r>
      <w:r>
        <w:rPr>
          <w:color w:val="000000"/>
          <w:spacing w:val="-6"/>
          <w:szCs w:val="24"/>
          <w:lang w:eastAsia="lt-LT"/>
        </w:rPr>
        <w:t>. Būsto šildymo išlaidų, geriamojo vandens išlaidų ir karšto vandens išlaidų kompensacijų teikimo vykdymas ir finansavimas: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būsto šildymo išlaidų, geriamojo vandens išlaidų ir karšto vandens išlaidų kompensacijas savivaldybės, išskyrus šio įstatymo 28 straipsnio 1 dalyje nurodytas savivaldybes, teikia vykdydamos valstybinę (valstybės perduotą savivaldybėms) funkciją. Būsto šildymo išlaidų, geriamojo vandens išlaidų ir karšto vandens išlaidų kompensacijos finansuojamos ir šio įstatymo 8 straipsnio 8 dalyje numatytas kreditas ir palūkanos apmokami iš valstybės biudžeto specialios tikslinės dotacijos savivaldybių biudžetams;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būsto šildymo išlaidų, geriamojo vandens išlaidų ir karšto vandens išlaidų kompensacijoms teikti šio įstatymo 23 straipsnio 4 dalyje nustatytais atvejais gali būti panaudojama iki 4 procentų būsto šildymo išlaidų, geriamojo vandens išlaidų ir karšto vandens išlaidų kompensacijoms skirtų lėšų;</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šios dalies 1 punkte nustatytoms būsto šildymo išlaidų, geriamojo vandens išlaidų ir karšto vandens išlaidų kompensacijoms administruoti iš valstybės biudžeto specialios tikslinės dotacijos savivaldybių biudžetams skiriama nuo 2 iki 4 procentų kompensacijoms skirtų lėšų. Konkretų būsto šildymo išlaidų, geriamojo vandens išlaidų ir karšto vandens išlaidų kompensacijoms administruoti skiriamų lėšų procento dydį iki biudžetinių metų pradžios nustato socialinės apsaugos ir darbo ministras. Būsto šildymo išlaidų, geriamojo vandens išlaidų ir karšto vandens išlaidų kompensacijoms administruoti panaudojama ne didesnė lėšų suma, negu nustatytas šioms kompensacijoms administruoti skiriamų lėšų procento dydis nuo panaudotų lėšų būsto šildymo išlaidų, geriamojo vandens išlaidų ir karšto vandens išlaidų kompensacijoms mokėti;</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valstybės biudžeto lėšų, skirtų specialiai tikslinei dotacijai būsto šildymo išlaidų, geriamojo vandens išlaidų ir karšto vandens išlaidų kompensacijoms administruoti, naudojimo ir atsiskaitymo tvarką nustato socialinės apsaugos ir darbo ministras.“</w:t>
      </w:r>
    </w:p>
    <w:p>
      <w:pPr>
        <w:ind w:firstLine="567"/>
        <w:jc w:val="both"/>
        <w:rPr>
          <w:szCs w:val="24"/>
          <w:lang w:eastAsia="lt-LT"/>
        </w:rPr>
      </w:pPr>
    </w:p>
    <w:p>
      <w:pPr>
        <w:keepLines/>
        <w:widowControl w:val="0"/>
        <w:suppressAutoHyphens/>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23 straipsnio pakeitimas ir papildymas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23 straipsnio 2 dalies 6 punkte prieš skaičių ir žodį „6 mėnesius“ įrašyti žodžius „savivaldybės tarybos patvirtintame tvarkos apraše nustatytų aplinkybių pagrindu“ ir šį punktą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savivaldybės tarybos patvirtintame tvarkos apraše nustatytų aplinkybių pagrindu 6 mėnesius neteikti piniginės socialinės paramos, jeigu bendrai gyvenančių asmenų arba vieno gyvenančio asmens turimų piniginių lėšų dydis viršija šio įstatymo 16 straipsnio 5 dalyje nustatytą piniginių lėšų normatyvą;“.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23 straipsnio 2 dalies 8 punkte po žodžių „nutraukti jos teikimą“ įrašyti žodžius „darbingo amžiaus darbingam (darbingiems)“ ir šį punktą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6 mėnesius neteikti piniginės socialinės paramos ar 6 mėnesiams nutraukti jos teikimą darbingo amžiaus darbingam (darbingiems) vienam gyvenančiam asmeniui arba bendrai gyvenantiems asmenims, vykdantiems individualią veiklą ir (ar) nekilnojamųjų daiktų pardavimo ir (ar) nuomos veiklą,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Pakeisti 23 straipsnio 2 dalies 14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14</w:t>
      </w:r>
      <w:r>
        <w:rPr>
          <w:color w:val="000000"/>
          <w:szCs w:val="24"/>
          <w:lang w:eastAsia="lt-LT"/>
        </w:rPr>
        <w:t>)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2 dalies 2, 3, 4, 5 punktuose ir 3 dalyje numatytais atvejais;“.</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23 straipsnio 3 dalies pirmojoje pastraipoje išbraukti žodžius ir skaičius „iš šio įstatymo 4 straipsnio 2 dalyje numatytų lėšų“ ir šią dalį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Patikrinus bendrai gyvenančių asmenų arba vieno gyvenančio asmens gyvenimo sąlygas ir surašius buities ir gyvenimo sąlygų patikrinimo aktą, savivaldybės administracijai suteikiama teisė savivaldybės tarybos nustatyta tvarka:</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skirti būsto šildymo išlaidų kompensaciją už didesnį, negu nustatyta šio įstatymo 12 straipsnio 1 dalies 1 punkte, naudingojo būsto ploto normatyvą;</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skirti socialinę pašalpą bendrai gyvenantiems asmenims, santuokos nutraukimo bylos nagrinėjimo metu esant ginčui, atskirai;</w:t>
      </w:r>
    </w:p>
    <w:p>
      <w:pPr>
        <w:widowControl w:val="0"/>
        <w:suppressAutoHyphens/>
        <w:ind w:firstLine="567"/>
        <w:jc w:val="both"/>
        <w:rPr>
          <w:color w:val="000000"/>
          <w:spacing w:val="-4"/>
          <w:szCs w:val="24"/>
          <w:lang w:eastAsia="lt-LT"/>
        </w:rPr>
      </w:pPr>
      <w:r>
        <w:rPr>
          <w:color w:val="000000"/>
          <w:spacing w:val="-4"/>
          <w:szCs w:val="24"/>
          <w:lang w:eastAsia="lt-LT"/>
        </w:rPr>
        <w:t>6</w:t>
      </w:r>
      <w:r>
        <w:rPr>
          <w:color w:val="000000"/>
          <w:spacing w:val="-4"/>
          <w:szCs w:val="24"/>
          <w:lang w:eastAsia="lt-LT"/>
        </w:rPr>
        <w:t>) skirti socialinę pašalpą, jeigu bendrai gyvenančių asmenų arba vieno gyvenančio asmens vidutinės pajamos per mėnesį ne daugiau kaip 20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skirti būsto šildymo išlaidų kompensaciją, jeigu daugiabučio namo buto savininkas neatitinka šio įstatymo 7 straipsnio 5 dalyje nustatytų reikalavimų;</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skirti socialinę pašalpą ir kompensacijas bendrai gyvenantiems asmenims arba vienam gyvenančiam asmeniui, kai jiems piniginė socialinė parama neskiriama šio įstatymo 21 straipsnio 11 dalyje nustatytu atveju;</w:t>
      </w:r>
    </w:p>
    <w:p>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nemažinti socialinės pašalpos dydžio, kaip nustatyta šio įstatymo 10 straipsnio 2 dalies 1–5 punktuose, jeigu Lietuvos teritorinė darbo birža ar kitos valstybės valstybinė įdarbinimo tarnyba socialinės pašalpos teikimo laikotarpiu nepasiūlė darbo arba nepasiūlė dalyvauti aktyvios darbo rinkos politikos priemonėse.“</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Papildyti 23 straipsnį nauja 4 dalimi:</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Šio straipsnio 3 dalies 2, 3, 4, 7, 8, 9 punktuose nustatytais atvejais kompensacijos teikiamos iš šio įstatymo 4 straipsnio 3 dalies 2 punkte nurodytų lėšų.“</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Buvusią 23 straipsnio 4 dalį laikyti 5 dalimi.</w:t>
      </w:r>
    </w:p>
    <w:p>
      <w:pPr>
        <w:ind w:firstLine="567"/>
        <w:jc w:val="both"/>
        <w:rPr>
          <w:szCs w:val="24"/>
          <w:lang w:eastAsia="lt-LT"/>
        </w:rPr>
      </w:pPr>
    </w:p>
    <w:p>
      <w:pPr>
        <w:keepLines/>
        <w:widowControl w:val="0"/>
        <w:suppressAutoHyphens/>
        <w:ind w:firstLine="567"/>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 ir įgyvendinimas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Socialinės pašalpos skyrimas įsigaliojus šio įstatymo nuostatoms: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jeigu sprendimas dėl socialinės pašalpos skyrimo priimtas iki šio įstatymo įsigaliojimo, socialinės pašalpos dydis neperskaičiuojamas;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jeigu dėl socialinės pašalpos buvo kreiptasi iki šio įstatymo įsigaliojimo, skiriant socialinę pašalpą, taikomos iki šio įstatymo įsigaliojimo galiojusios Lietuvos Respublikos piniginės socialinės paramos nepasiturintiems gyventojams įstatymo nuostatos. Jeigu dėl socialinės pašalpos kreipiamasi įsigaliojus šio įstatymo nuostatoms, skiriant socialinę pašalpą, taikomos šio įstatymo nuostatos.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Savivaldybių, išskyrus Lietuvos Respublikos piniginės socialinės paramos nepasiturintiems gyventojams įstatymo 28 straipsnio 1 dalyje nurodytas savivaldybes, institucijos iki 2013 m. gruodžio 31 d. priima ar pakeičia šio įstatymo įgyvendinamuosius teisės aktus.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Socialinės apsaugos ir darbo ministras iki 2013 m. gruodžio 31 d. priima ar pakeičia šio įstatymo įgyvendinamuosius teisės aktus.</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Šis įstatymas, išskyrus šio straipsnio 2 ir 3 dalis, įsigalioja 2014 m. sausio 1 d.</w:t>
      </w:r>
    </w:p>
    <w:p>
      <w:pPr>
        <w:widowControl w:val="0"/>
        <w:suppressAutoHyphens/>
        <w:ind w:firstLine="567"/>
        <w:jc w:val="both"/>
        <w:rPr>
          <w:i/>
          <w:iCs/>
          <w:color w:val="000000"/>
          <w:szCs w:val="24"/>
          <w:lang w:eastAsia="lt-LT"/>
        </w:rPr>
      </w:pPr>
    </w:p>
    <w:p>
      <w:pPr>
        <w:widowControl w:val="0"/>
        <w:suppressAutoHyphens/>
        <w:ind w:firstLine="567"/>
        <w:jc w:val="both"/>
        <w:rPr>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 xml:space="preserve">RESPUBLIKOS PREZIDENTĖ </w:t>
        <w:tab/>
        <w:t>DALIA GRYBAUSKAITĖ</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10151</Characters>
  <Application>Microsoft Office Word</Application>
  <DocSecurity>4</DocSecurity>
  <Lines>166</Lines>
  <Paragraphs>56</Paragraphs>
  <ScaleCrop>false</ScaleCrop>
  <Company/>
  <LinksUpToDate>false</LinksUpToDate>
  <CharactersWithSpaces>11592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2014-12-19T10:48:00Z</dcterms:created>
  <dc:creator>Rima</dc:creator>
  <lastModifiedBy>Adlib User</lastModifiedBy>
  <dcterms:modified xsi:type="dcterms:W3CDTF">2014-12-19T10:48:00Z</dcterms:modified>
  <revision>2</revision>
  <dc:title>LIETUVOS RESPUBLIKOS PINIGINĖS SOCIALINĖS PARAMOS NEPASITURINTIEMS GYVENTOJAMS ĮSTATYMO 4, 23 STRAIPSNIŲ PAKEITIMO IR PAPILDYMO ĮSTATYMAS</dc:title>
</coreProperties>
</file>