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left" w:pos="0"/>
        </w:tabs>
        <w:jc w:val="center"/>
        <w:rPr>
          <w:color w:val="000000"/>
        </w:rPr>
      </w:pPr>
      <w:r>
        <w:rPr>
          <w:b/>
          <w:bC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olor w:val="000000"/>
        </w:rPr>
        <w:t>NYKSTANČIŲ LAUKINĖS FAUNOS IR FLOROS RŪŠIŲ TARPTAUTINĖS PREKYBOS KONVENCIJOS XXI STRAIPSNIO PAKEITIMAS</w:t>
      </w:r>
    </w:p>
    <w:p>
      <w:pPr>
        <w:ind w:firstLine="709"/>
        <w:jc w:val="both"/>
        <w:rPr>
          <w:color w:val="000000"/>
          <w:szCs w:val="24"/>
        </w:rPr>
      </w:pPr>
    </w:p>
    <w:p>
      <w:pPr>
        <w:ind w:firstLine="709"/>
        <w:jc w:val="both"/>
        <w:rPr>
          <w:color w:val="000000"/>
          <w:szCs w:val="24"/>
        </w:rPr>
      </w:pPr>
      <w:r>
        <w:rPr>
          <w:color w:val="000000"/>
          <w:szCs w:val="24"/>
        </w:rPr>
        <w:t>XXI straipsnyje po žodžių „Vyriausybei depozitarei“ įterpiamos šios penkios straipsnio dalys:</w:t>
      </w:r>
    </w:p>
    <w:p>
      <w:pPr>
        <w:ind w:firstLine="709"/>
        <w:jc w:val="both"/>
        <w:rPr>
          <w:color w:val="000000"/>
          <w:szCs w:val="24"/>
        </w:rPr>
      </w:pPr>
      <w:r>
        <w:rPr>
          <w:iCs/>
          <w:color w:val="000000"/>
          <w:szCs w:val="24"/>
        </w:rPr>
        <w:t>1</w:t>
      </w:r>
      <w:r>
        <w:rPr>
          <w:iCs/>
          <w:color w:val="000000"/>
          <w:szCs w:val="24"/>
        </w:rPr>
        <w:t>.</w:t>
      </w:r>
      <w:r>
        <w:rPr>
          <w:iCs/>
          <w:color w:val="000000"/>
          <w:szCs w:val="14"/>
        </w:rPr>
        <w:t xml:space="preserve"> </w:t>
      </w:r>
      <w:r>
        <w:rPr>
          <w:iCs/>
          <w:color w:val="000000"/>
          <w:szCs w:val="24"/>
        </w:rPr>
        <w:t>Prie šios Konvencijos gali prisijungti regioninės ekonominės integracijos organizacijos, kurias įsteigė nepriklausomos valstybės ir kurioms jų valstybės narės yra perdavusios teisę derėtis, sudaryti ir įgyvendinti tarptautinius susitarimus joms perduotais bei šios Konvencijos reglamentuojamais klausimais.</w:t>
      </w:r>
    </w:p>
    <w:p>
      <w:pPr>
        <w:ind w:firstLine="709"/>
        <w:jc w:val="both"/>
        <w:rPr>
          <w:color w:val="000000"/>
          <w:szCs w:val="24"/>
        </w:rPr>
      </w:pPr>
      <w:r>
        <w:rPr>
          <w:iCs/>
          <w:color w:val="000000"/>
          <w:szCs w:val="24"/>
        </w:rPr>
        <w:t>2</w:t>
      </w:r>
      <w:r>
        <w:rPr>
          <w:iCs/>
          <w:color w:val="000000"/>
          <w:szCs w:val="24"/>
        </w:rPr>
        <w:t>.</w:t>
      </w:r>
      <w:r>
        <w:rPr>
          <w:iCs/>
          <w:color w:val="000000"/>
          <w:szCs w:val="14"/>
        </w:rPr>
        <w:t xml:space="preserve"> </w:t>
      </w:r>
      <w:r>
        <w:rPr>
          <w:iCs/>
          <w:color w:val="000000"/>
          <w:szCs w:val="24"/>
        </w:rPr>
        <w:t>Savo prisijungimo dokumentuose tokios organizacijos apibrėžia savo kompetenciją šios Konvencijos reglamentuojamais klausimais. Šios organizacijos taip pat praneša Vyriausybei depozitarei apie bet kokį esminį savo kompetencijos pasikeitimą. Vyriausybė depozitarė visoms Šalims išsiuntinėja regioninių ekonominės integracijos organizacijų pranešimus apie jų kompetenciją šios Konvencijos reglamentuojamais klausimais ir apie tos kompetencijos pasikeitimus.</w:t>
      </w:r>
    </w:p>
    <w:p>
      <w:pPr>
        <w:ind w:firstLine="709"/>
        <w:jc w:val="both"/>
        <w:rPr>
          <w:color w:val="000000"/>
        </w:rPr>
      </w:pPr>
      <w:r>
        <w:rPr>
          <w:iCs/>
          <w:color w:val="000000"/>
          <w:szCs w:val="24"/>
        </w:rPr>
        <w:t>3</w:t>
      </w:r>
      <w:r>
        <w:rPr>
          <w:iCs/>
          <w:color w:val="000000"/>
          <w:szCs w:val="24"/>
        </w:rPr>
        <w:t>.</w:t>
      </w:r>
      <w:r>
        <w:rPr>
          <w:iCs/>
          <w:color w:val="000000"/>
          <w:szCs w:val="14"/>
        </w:rPr>
        <w:t xml:space="preserve"> </w:t>
      </w:r>
      <w:r>
        <w:rPr>
          <w:iCs/>
          <w:color w:val="000000"/>
          <w:szCs w:val="24"/>
        </w:rPr>
        <w:t>Spręsdamos jų kompetencijai priklausančius klausimus, regioninės ekonominės integracijos organizacijos naudojasi teisėmis ir vykdo pareigas, šia Konvencija priskiriamas jų valstybėms narėms, kurios yra šios Konvencijos Šalys. Tokiais atvejais šių organizacijų valstybės narės neturi teisės naudotis tokiomis teisėmis individualiai.</w:t>
      </w:r>
    </w:p>
    <w:p>
      <w:pPr>
        <w:ind w:firstLine="709"/>
        <w:jc w:val="both"/>
        <w:rPr>
          <w:color w:val="000000"/>
          <w:szCs w:val="24"/>
        </w:rPr>
      </w:pPr>
      <w:r>
        <w:rPr>
          <w:iCs/>
          <w:color w:val="000000"/>
          <w:szCs w:val="24"/>
        </w:rPr>
        <w:t>4</w:t>
      </w:r>
      <w:r>
        <w:rPr>
          <w:iCs/>
          <w:color w:val="000000"/>
          <w:szCs w:val="24"/>
        </w:rPr>
        <w:t>.</w:t>
      </w:r>
      <w:r>
        <w:rPr>
          <w:iCs/>
          <w:color w:val="000000"/>
          <w:szCs w:val="14"/>
        </w:rPr>
        <w:t xml:space="preserve"> </w:t>
      </w:r>
      <w:r>
        <w:rPr>
          <w:iCs/>
          <w:color w:val="000000"/>
          <w:szCs w:val="24"/>
        </w:rPr>
        <w:t>Balsuodamos dėl jų kompetencijai priskirtų klausimų, regioninės ekonominės integracijos organizacijos turi tiek balsų, kiek yra jų valstybių narių, kurios yra šios Konvencijos Šalys. Tokios organizacijos nesinaudoja teise balsuoti, jei tokia teise naudojasi jų valstybės narės, ir atvirkščiai.</w:t>
      </w:r>
    </w:p>
    <w:p>
      <w:pPr>
        <w:ind w:firstLine="709"/>
        <w:jc w:val="both"/>
        <w:rPr>
          <w:color w:val="000000"/>
          <w:szCs w:val="24"/>
        </w:rPr>
      </w:pPr>
      <w:r>
        <w:rPr>
          <w:iCs/>
          <w:color w:val="000000"/>
          <w:szCs w:val="24"/>
        </w:rPr>
        <w:t>5</w:t>
      </w:r>
      <w:r>
        <w:rPr>
          <w:iCs/>
          <w:color w:val="000000"/>
          <w:szCs w:val="24"/>
        </w:rPr>
        <w:t>.</w:t>
      </w:r>
      <w:r>
        <w:rPr>
          <w:iCs/>
          <w:color w:val="000000"/>
          <w:szCs w:val="14"/>
        </w:rPr>
        <w:t xml:space="preserve"> </w:t>
      </w:r>
      <w:r>
        <w:rPr>
          <w:iCs/>
          <w:color w:val="000000"/>
          <w:szCs w:val="24"/>
        </w:rPr>
        <w:t>Bet kokia nuoroda į „Šalį“, kaip apibrėžta Konvencijos 1 straipsnio h punkte, į „valstybę/valstybes“ arba „valstybę, šios Konvencijos Šalį/valstybes, šios Konvencijos Šalis“ aiškinama kartu kaip nuoroda į bet kurią regioninę ekonominės integracijos organizaciją, turinčią teisę derėtis, sudaryti ir įgyvendinti tarptautinius susitarimus šios Konvencijos reglamentuojamais klausimais.</w:t>
      </w:r>
    </w:p>
    <w:p>
      <w:pPr>
        <w:jc w:val="center"/>
        <w:rPr>
          <w:color w:val="000000"/>
          <w:szCs w:val="24"/>
        </w:rPr>
      </w:pPr>
      <w:r>
        <w:rPr>
          <w:color w:val="000000"/>
          <w:szCs w:val="24"/>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218782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1771</Characters>
  <Application>Microsoft Office Word</Application>
  <DocSecurity>4</DocSecurity>
  <Lines>28</Lines>
  <Paragraphs>9</Paragraphs>
  <ScaleCrop>false</ScaleCrop>
  <Company/>
  <LinksUpToDate>false</LinksUpToDate>
  <CharactersWithSpaces>1992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2015-10-04T03:40:00Z</dcterms:created>
  <dc:creator>Tadeuš Buivid</dc:creator>
  <lastModifiedBy>Adlib User</lastModifiedBy>
  <dcterms:modified xsi:type="dcterms:W3CDTF">2015-10-04T03:40:00Z</dcterms:modified>
  <revision>2</revision>
</coreProperties>
</file>