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>LIETUVOS RESPUBLIKOS SVEIKATOS PRIEŽIŪROS ĮSTAIGŲ ĮSTATYMO 10 STRAIPSNIO PAKEITIMO 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12 d. Nr. XI-1122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C81BD50A27C6 \t _blank">
        <w:r>
          <w:rPr>
            <w:color w:val="0000FF" w:themeColor="hyperlink"/>
            <w:u w:val="single"/>
          </w:rPr>
          <w:t>66-1572</w:t>
        </w:r>
      </w:fldSimple>
      <w:r>
        <w:rPr>
          <w:color w:val="000000"/>
        </w:rPr>
        <w:t xml:space="preserve">; 1998, Nr. </w:t>
      </w:r>
      <w:fldSimple w:instr="HYPERLINK https://www.e-tar.lt/portal/lt/legalAct/TAR.2E6CC51EA4ED \t _blank">
        <w:r>
          <w:rPr>
            <w:color w:val="0000FF" w:themeColor="hyperlink"/>
            <w:u w:val="single"/>
          </w:rPr>
          <w:t>109-2995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11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10 straipsnio 11 punktą ir jį išdėstyti taip:</w:t>
      </w:r>
    </w:p>
    <w:p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) suderinusi su Lietuvos statistikos departamentu, tvirtina įstaigų veiklos statistikos formas, įstaigų veiklos apskaitos ir atskaitomybės tvarką;“.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4</DocSecurity>
  <Lines>19</Lines>
  <Paragraphs>11</Paragraphs>
  <ScaleCrop>false</ScaleCrop>
  <Company/>
  <LinksUpToDate>false</LinksUpToDate>
  <CharactersWithSpaces>554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2015-06-19T22:37:00Z</dcterms:created>
  <dc:creator>Rima</dc:creator>
  <lastModifiedBy>Adlib User</lastModifiedBy>
  <dcterms:modified xsi:type="dcterms:W3CDTF">2015-06-19T22:37:00Z</dcterms:modified>
  <revision>2</revision>
  <dc:title>LIETUVOS RESPUBLIKOS SVEIKATOS PRIEŽIŪROS ĮSTAIGŲ ĮSTATYMO</dc:title>
</coreProperties>
</file>