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3FF1" w14:textId="77777777" w:rsidR="008E7C7B" w:rsidRDefault="0037346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35D1401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35D13FF2" w14:textId="77777777" w:rsidR="008E7C7B" w:rsidRDefault="0037346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MOKĖJIMŲ ĮSTATYMO 2, 3, 6, 7 STRAIPSNIŲ PAKEITIMO IR PAPILDYMO </w:t>
      </w:r>
    </w:p>
    <w:p w14:paraId="35D13FF3" w14:textId="77777777" w:rsidR="008E7C7B" w:rsidRDefault="00373469">
      <w:pPr>
        <w:widowControl w:val="0"/>
        <w:suppressAutoHyphens/>
        <w:jc w:val="center"/>
        <w:rPr>
          <w:rFonts w:ascii="Times New Roman Bold" w:hAnsi="Times New Roman Bold"/>
          <w:b/>
          <w:bCs/>
          <w:caps/>
          <w:color w:val="000000"/>
          <w:spacing w:val="60"/>
        </w:rPr>
      </w:pPr>
      <w:r>
        <w:rPr>
          <w:rFonts w:ascii="Times New Roman Bold" w:hAnsi="Times New Roman Bold"/>
          <w:b/>
          <w:bCs/>
          <w:caps/>
          <w:color w:val="000000"/>
          <w:spacing w:val="60"/>
        </w:rPr>
        <w:t>ĮSTATYMAS</w:t>
      </w:r>
    </w:p>
    <w:p w14:paraId="35D13FF4" w14:textId="77777777" w:rsidR="008E7C7B" w:rsidRDefault="008E7C7B">
      <w:pPr>
        <w:widowControl w:val="0"/>
        <w:suppressAutoHyphens/>
        <w:jc w:val="center"/>
        <w:rPr>
          <w:color w:val="000000"/>
        </w:rPr>
      </w:pPr>
    </w:p>
    <w:p w14:paraId="35D13FF5" w14:textId="77777777" w:rsidR="008E7C7B" w:rsidRDefault="0037346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22 d. Nr. XI-1876</w:t>
      </w:r>
    </w:p>
    <w:p w14:paraId="35D13FF6" w14:textId="77777777" w:rsidR="008E7C7B" w:rsidRDefault="0037346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5D13FF7" w14:textId="77777777" w:rsidR="008E7C7B" w:rsidRDefault="008E7C7B">
      <w:pPr>
        <w:widowControl w:val="0"/>
        <w:suppressAutoHyphens/>
        <w:jc w:val="center"/>
        <w:rPr>
          <w:color w:val="000000"/>
        </w:rPr>
      </w:pPr>
    </w:p>
    <w:p w14:paraId="35D13FF8" w14:textId="77777777" w:rsidR="008E7C7B" w:rsidRDefault="0037346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97-2775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153-6888</w:t>
        </w:r>
      </w:hyperlink>
      <w:r>
        <w:rPr>
          <w:color w:val="000000"/>
        </w:rPr>
        <w:t xml:space="preserve">; 2011, Nr. </w:t>
      </w:r>
      <w:hyperlink r:id="rId12" w:tgtFrame="_blank" w:history="1">
        <w:r>
          <w:rPr>
            <w:color w:val="0000FF" w:themeColor="hyperlink"/>
            <w:u w:val="single"/>
          </w:rPr>
          <w:t>52-2515</w:t>
        </w:r>
      </w:hyperlink>
      <w:r>
        <w:rPr>
          <w:color w:val="000000"/>
        </w:rPr>
        <w:t>, Nr. 146-6331)</w:t>
      </w:r>
    </w:p>
    <w:p w14:paraId="35D13FF9" w14:textId="77777777" w:rsidR="008E7C7B" w:rsidRDefault="008E7C7B">
      <w:pPr>
        <w:widowControl w:val="0"/>
        <w:suppressAutoHyphens/>
        <w:rPr>
          <w:color w:val="000000"/>
        </w:rPr>
      </w:pPr>
    </w:p>
    <w:p w14:paraId="35D13FFA" w14:textId="77777777" w:rsidR="008E7C7B" w:rsidRDefault="00373469"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</w:t>
      </w:r>
      <w:r>
        <w:rPr>
          <w:b/>
          <w:bCs/>
          <w:color w:val="000000"/>
        </w:rPr>
        <w:t>traipsnio 4 dalies pakeitimas ir straipsnio papildymas 5 dalimi</w:t>
      </w:r>
    </w:p>
    <w:p w14:paraId="35D13FFB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2 straipsnio 4 dalį ir ją išdėstyti taip:</w:t>
      </w:r>
    </w:p>
    <w:p w14:paraId="35D13FFC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Elektroniniai pinigai</w:t>
      </w:r>
      <w:r>
        <w:rPr>
          <w:color w:val="000000"/>
        </w:rPr>
        <w:t xml:space="preserve"> – kaip ši sąvoka apibrėžta Lietuvos Respublikos elektroninių pinigų ir elektroninių pinigų įstaigų įstatyme.“</w:t>
      </w:r>
    </w:p>
    <w:p w14:paraId="35D13FFD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2 straipsnį nauja 5 dalimi:</w:t>
      </w:r>
    </w:p>
    <w:p w14:paraId="35D13FFE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Elektroninių pinigų įstaiga</w:t>
      </w:r>
      <w:r>
        <w:rPr>
          <w:color w:val="000000"/>
        </w:rPr>
        <w:t xml:space="preserve"> – Lietuvos Respublikos elektroninių pinigų ir elektroninių pin</w:t>
      </w:r>
      <w:r>
        <w:rPr>
          <w:color w:val="000000"/>
        </w:rPr>
        <w:t>igų įstaigų įstatyme apibrėžta elektroninių pinigų įstaiga, kitos valstybės narės elektroninių pinigų įstaiga, jų filialai ir užsienio valstybės elektroninių pinigų įstaigos filialas, įsteigtas Lietuvos Respublikoje.“</w:t>
      </w:r>
    </w:p>
    <w:p w14:paraId="35D13FFF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Buvusias 2 straipsnio 5–35 </w:t>
      </w:r>
      <w:r>
        <w:rPr>
          <w:color w:val="000000"/>
        </w:rPr>
        <w:t>dalis laikyti atitinkamai 6–36 dalimis.</w:t>
      </w:r>
    </w:p>
    <w:p w14:paraId="35D14000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</w:p>
    <w:p w14:paraId="35D14001" w14:textId="77777777" w:rsidR="008E7C7B" w:rsidRDefault="00373469"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8 dalies 7 punkto pakeitimas</w:t>
      </w:r>
    </w:p>
    <w:p w14:paraId="35D14002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 straipsnio 8 dalies 7 punkte išbraukti žodžius „kaip jas apibrėžusi Pasaulinė pašto sąjunga“ ir šį punktą išdėstyti taip:</w:t>
      </w:r>
    </w:p>
    <w:p w14:paraId="35D14003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mokėjimo operacijoms,</w:t>
      </w:r>
      <w:r>
        <w:rPr>
          <w:color w:val="000000"/>
        </w:rPr>
        <w:t xml:space="preserve"> vykdomoms pagal bet kurį iš šių mokėjimo paslaugų teikėją įpareigojančių popierinių dokumentų siekiant perduoti lėšas gavėjui: čekius, kuriuos reglamentuoja Lietuvos Respublikos čekių įstatymas arba valstybių narių, kurios nėra 1931 m. Ženevos konvencijos</w:t>
      </w:r>
      <w:r>
        <w:rPr>
          <w:color w:val="000000"/>
        </w:rPr>
        <w:t xml:space="preserve"> dėl Vieningo čekių įstatymo šalys, teisės aktai; vekselius, kuriuos reglamentuoja Lietuvos Respublikos įsakomųjų ir paprastųjų vekselių įstatymas arba valstybių narių, kurios nėra 1930 m. birželio 7 d. Ženevos konvencijos dėl Vieningo įsakomųjų ir paprast</w:t>
      </w:r>
      <w:r>
        <w:rPr>
          <w:color w:val="000000"/>
        </w:rPr>
        <w:t>ųjų vekselių įstatymo šalys, teisės aktai; pagrindimo dokumentus; kelionių čekius; pašto perlaidas;“.</w:t>
      </w:r>
    </w:p>
    <w:p w14:paraId="35D14004" w14:textId="77777777" w:rsidR="008E7C7B" w:rsidRDefault="00373469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35D14005" w14:textId="77777777" w:rsidR="008E7C7B" w:rsidRDefault="00373469"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papildymas ir pakeitimas</w:t>
      </w:r>
    </w:p>
    <w:p w14:paraId="35D14006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6 straipsnį nauju 2 punktu:</w:t>
      </w:r>
    </w:p>
    <w:p w14:paraId="35D14007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elektroninių pinigų įstaigos;“.</w:t>
      </w:r>
    </w:p>
    <w:p w14:paraId="35D14008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Buvusius 6 straipsnio 2–5 punktus laikyti atitinkamai 3–6 punktais.</w:t>
      </w:r>
    </w:p>
    <w:p w14:paraId="35D14009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</w:p>
    <w:p w14:paraId="35D1400A" w14:textId="77777777" w:rsidR="008E7C7B" w:rsidRDefault="00373469"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 straipsnio 2 dalies pakeitimas</w:t>
      </w:r>
    </w:p>
    <w:p w14:paraId="35D1400B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7 straipsnio 2 dalį ir ją išdėstyti taip:</w:t>
      </w:r>
    </w:p>
    <w:p w14:paraId="35D1400C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Šio įstatymo 6 straipsnio 4, 5 ir 6 punktuose nurodyti mokėjimo paslaugų</w:t>
      </w:r>
      <w:r>
        <w:rPr>
          <w:color w:val="000000"/>
        </w:rPr>
        <w:t xml:space="preserve"> teikėjai turi teisę teikti mokėjimo paslaugas be licencijos, suteikiančios teisę teikti mokėjimo paslaugas.“</w:t>
      </w:r>
    </w:p>
    <w:p w14:paraId="35D1400D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</w:p>
    <w:p w14:paraId="35D1400E" w14:textId="77777777" w:rsidR="008E7C7B" w:rsidRDefault="00373469"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35D1400F" w14:textId="77777777" w:rsidR="008E7C7B" w:rsidRDefault="0037346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 w14:paraId="35D14010" w14:textId="77777777" w:rsidR="008E7C7B" w:rsidRDefault="00373469">
      <w:pPr>
        <w:widowControl w:val="0"/>
        <w:suppressAutoHyphens/>
        <w:jc w:val="both"/>
        <w:rPr>
          <w:color w:val="000000"/>
        </w:rPr>
      </w:pPr>
    </w:p>
    <w:p w14:paraId="35D14011" w14:textId="1BB0F732" w:rsidR="008E7C7B" w:rsidRDefault="00373469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</w:t>
      </w:r>
      <w:r>
        <w:rPr>
          <w:i/>
          <w:iCs/>
          <w:color w:val="000000"/>
        </w:rPr>
        <w:t>įstatymą.</w:t>
      </w:r>
    </w:p>
    <w:p w14:paraId="35D14012" w14:textId="77777777" w:rsidR="008E7C7B" w:rsidRDefault="008E7C7B">
      <w:pPr>
        <w:widowControl w:val="0"/>
        <w:suppressAutoHyphens/>
        <w:jc w:val="both"/>
        <w:rPr>
          <w:color w:val="000000"/>
        </w:rPr>
      </w:pPr>
    </w:p>
    <w:p w14:paraId="35D14013" w14:textId="77777777" w:rsidR="008E7C7B" w:rsidRDefault="008E7C7B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C9037BD" w14:textId="77777777" w:rsidR="00373469" w:rsidRDefault="0037346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bookmarkStart w:id="0" w:name="_GoBack"/>
      <w:bookmarkEnd w:id="0"/>
    </w:p>
    <w:p w14:paraId="35D14014" w14:textId="77777777" w:rsidR="008E7C7B" w:rsidRDefault="0037346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35D14015" w14:textId="5B528C43" w:rsidR="008E7C7B" w:rsidRDefault="008E7C7B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5D14016" w14:textId="7C0F933B" w:rsidR="008E7C7B" w:rsidRDefault="00373469">
      <w:pPr>
        <w:widowControl w:val="0"/>
        <w:suppressAutoHyphens/>
        <w:jc w:val="center"/>
        <w:rPr>
          <w:color w:val="000000"/>
        </w:rPr>
      </w:pPr>
    </w:p>
    <w:sectPr w:rsidR="008E7C7B" w:rsidSect="003734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1401A" w14:textId="77777777" w:rsidR="008E7C7B" w:rsidRDefault="00373469">
      <w:r>
        <w:separator/>
      </w:r>
    </w:p>
  </w:endnote>
  <w:endnote w:type="continuationSeparator" w:id="0">
    <w:p w14:paraId="35D1401B" w14:textId="77777777" w:rsidR="008E7C7B" w:rsidRDefault="003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01E" w14:textId="77777777" w:rsidR="008E7C7B" w:rsidRDefault="008E7C7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01F" w14:textId="77777777" w:rsidR="008E7C7B" w:rsidRDefault="008E7C7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021" w14:textId="77777777" w:rsidR="008E7C7B" w:rsidRDefault="008E7C7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4018" w14:textId="77777777" w:rsidR="008E7C7B" w:rsidRDefault="00373469">
      <w:r>
        <w:separator/>
      </w:r>
    </w:p>
  </w:footnote>
  <w:footnote w:type="continuationSeparator" w:id="0">
    <w:p w14:paraId="35D14019" w14:textId="77777777" w:rsidR="008E7C7B" w:rsidRDefault="0037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01C" w14:textId="77777777" w:rsidR="008E7C7B" w:rsidRDefault="008E7C7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01D" w14:textId="77777777" w:rsidR="008E7C7B" w:rsidRDefault="008E7C7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020" w14:textId="77777777" w:rsidR="008E7C7B" w:rsidRDefault="008E7C7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D"/>
    <w:rsid w:val="00373469"/>
    <w:rsid w:val="008E7C7B"/>
    <w:rsid w:val="00A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1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34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3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6C5599DD9A1"/>
  <Relationship Id="rId11" Type="http://schemas.openxmlformats.org/officeDocument/2006/relationships/hyperlink" TargetMode="External" Target="https://www.e-tar.lt/portal/lt/legalAct/TAR.6A58820A3491"/>
  <Relationship Id="rId12" Type="http://schemas.openxmlformats.org/officeDocument/2006/relationships/hyperlink" TargetMode="External" Target="https://www.e-tar.lt/portal/lt/legalAct/TAR.B6B7EE54785F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6"/>
    <w:rsid w:val="002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11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1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1742</Words>
  <Characters>994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2731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2015-09-20T13:26:00Z</dcterms:created>
  <dc:creator>Sandra</dc:creator>
  <lastModifiedBy>TRAPINSKIENĖ Aušrinė</lastModifiedBy>
  <dcterms:modified xsi:type="dcterms:W3CDTF">2018-05-07T07:32:00Z</dcterms:modified>
  <revision>3</revision>
  <dc:title>LIETUVOS RESPUBLIKOS</dc:title>
</coreProperties>
</file>