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8C426" w14:textId="77777777" w:rsidR="00483C16" w:rsidRDefault="005A079C">
      <w:pPr>
        <w:keepLines/>
        <w:widowControl w:val="0"/>
        <w:suppressAutoHyphens/>
        <w:jc w:val="center"/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LIETUVOS RESPUBLIKOS vyriausybės</w:t>
      </w:r>
    </w:p>
    <w:p w14:paraId="0AB8C427" w14:textId="77777777" w:rsidR="00483C16" w:rsidRDefault="005A079C">
      <w:pPr>
        <w:keepLines/>
        <w:widowControl w:val="0"/>
        <w:suppressAutoHyphens/>
        <w:jc w:val="center"/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N U T A R I M A S</w:t>
      </w:r>
    </w:p>
    <w:p w14:paraId="0AB8C428" w14:textId="77777777" w:rsidR="00483C16" w:rsidRDefault="00483C16">
      <w:pPr>
        <w:widowControl w:val="0"/>
        <w:suppressAutoHyphens/>
        <w:jc w:val="center"/>
        <w:rPr>
          <w:color w:val="000000"/>
          <w:szCs w:val="24"/>
          <w:lang w:eastAsia="lt-LT"/>
        </w:rPr>
      </w:pPr>
    </w:p>
    <w:p w14:paraId="0AB8C429" w14:textId="77777777" w:rsidR="00483C16" w:rsidRDefault="005A079C">
      <w:pPr>
        <w:keepLines/>
        <w:widowControl w:val="0"/>
        <w:suppressAutoHyphens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 xml:space="preserve">Dėl 2012 m. RUGSĖJO 26 d. KOMISIJOS ĮGYVENDINIMO REGLAMENTO (ES) Nr. 923/2012, KURIUO NUSTATOMOS BENDROSIOS SKRYDŽIŲ TAISYKLĖS IR VEIKLOS NUOSTATOS DĖL ORO NAVIGACIJOS PASLAUGŲ IR PROCEDŪRŲ IR IŠ DALIES </w:t>
      </w:r>
      <w:r>
        <w:rPr>
          <w:b/>
          <w:bCs/>
          <w:caps/>
          <w:color w:val="000000"/>
          <w:szCs w:val="24"/>
          <w:lang w:eastAsia="lt-LT"/>
        </w:rPr>
        <w:t>KEIČIAMI ĮGYVENDINIMO REGLAMENTAS (ES) Nr. 1035/2011 IR REGLAMENTAI (EB) Nr. 1265/2007, (EB) Nr. 1794/2006, (EB) Nr. 730/2006, (EB) Nr. 1033/2006 IR (ES) Nr. 255/2010, NUOSTATŲ ĮGYVENDINIMO</w:t>
      </w:r>
    </w:p>
    <w:p w14:paraId="0AB8C42A" w14:textId="77777777" w:rsidR="00483C16" w:rsidRDefault="00483C16">
      <w:pPr>
        <w:widowControl w:val="0"/>
        <w:suppressAutoHyphens/>
        <w:jc w:val="center"/>
        <w:rPr>
          <w:color w:val="000000"/>
          <w:szCs w:val="24"/>
          <w:lang w:eastAsia="lt-LT"/>
        </w:rPr>
      </w:pPr>
    </w:p>
    <w:p w14:paraId="0AB8C42B" w14:textId="77777777" w:rsidR="00483C16" w:rsidRDefault="005A079C">
      <w:pPr>
        <w:keepLines/>
        <w:widowControl w:val="0"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2013 m. gruodžio 4 d. Nr. 1132 </w:t>
      </w:r>
    </w:p>
    <w:p w14:paraId="0AB8C42C" w14:textId="77777777" w:rsidR="00483C16" w:rsidRDefault="005A079C">
      <w:pPr>
        <w:keepLines/>
        <w:widowControl w:val="0"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0AB8C42D" w14:textId="77777777" w:rsidR="00483C16" w:rsidRDefault="00483C16">
      <w:pPr>
        <w:widowControl w:val="0"/>
        <w:suppressAutoHyphens/>
        <w:jc w:val="center"/>
        <w:rPr>
          <w:color w:val="000000"/>
          <w:szCs w:val="24"/>
          <w:lang w:eastAsia="lt-LT"/>
        </w:rPr>
      </w:pPr>
    </w:p>
    <w:p w14:paraId="0AB8C42E" w14:textId="77777777" w:rsidR="00483C16" w:rsidRDefault="005A079C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pacing w:val="-2"/>
          <w:szCs w:val="24"/>
          <w:lang w:eastAsia="lt-LT"/>
        </w:rPr>
        <w:t>Siekdama užtikrinti 2012</w:t>
      </w:r>
      <w:r>
        <w:rPr>
          <w:color w:val="000000"/>
          <w:spacing w:val="-2"/>
          <w:szCs w:val="24"/>
          <w:lang w:eastAsia="lt-LT"/>
        </w:rPr>
        <w:t> m. rugsėjo 26 d. Komisijos įgyvendinimo reglamento (ES) Nr. 923/2012, kuriuo nustatomos bendrosios skrydžių taisyklės ir veiklos nuostatos dėl oro navigacijos paslaugų ir procedūrų ir iš dalies keičiami Įgyvendinimo reglamentas (ES) Nr. 1035/2011 ir regla</w:t>
      </w:r>
      <w:r>
        <w:rPr>
          <w:color w:val="000000"/>
          <w:spacing w:val="-2"/>
          <w:szCs w:val="24"/>
          <w:lang w:eastAsia="lt-LT"/>
        </w:rPr>
        <w:t>mentai (EB) Nr. 1265/2007, (EB) Nr. 1794/2006, (EB) Nr. 730/2006, (EB) Nr. 1033/2006 ir (ES) Nr. 255/2010 (OL 2012 L 281, p. 1) (toliau – reglamentas), įgyvendinimą, Lietuvos Respublikos Vyriausybė</w:t>
      </w:r>
      <w:r>
        <w:rPr>
          <w:color w:val="000000"/>
          <w:spacing w:val="83"/>
          <w:szCs w:val="24"/>
          <w:lang w:eastAsia="lt-LT"/>
        </w:rPr>
        <w:t xml:space="preserve"> nutaria</w:t>
      </w:r>
      <w:r>
        <w:rPr>
          <w:color w:val="000000"/>
          <w:szCs w:val="24"/>
          <w:lang w:eastAsia="lt-LT"/>
        </w:rPr>
        <w:t>:</w:t>
      </w:r>
    </w:p>
    <w:p w14:paraId="0AB8C42F" w14:textId="77777777" w:rsidR="00483C16" w:rsidRDefault="005A079C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Pavesti Civilinės aviacijos administracija</w:t>
      </w:r>
      <w:r>
        <w:rPr>
          <w:color w:val="000000"/>
          <w:szCs w:val="24"/>
          <w:lang w:eastAsia="lt-LT"/>
        </w:rPr>
        <w:t>i atlikti reglamente nurodytos kompetentingos institucijos funkcijas.</w:t>
      </w:r>
    </w:p>
    <w:p w14:paraId="0AB8C430" w14:textId="77777777" w:rsidR="00483C16" w:rsidRDefault="005A079C">
      <w:pPr>
        <w:widowControl w:val="0"/>
        <w:suppressAutoHyphens/>
        <w:ind w:firstLine="567"/>
        <w:jc w:val="both"/>
        <w:rPr>
          <w:color w:val="000000"/>
          <w:spacing w:val="-4"/>
          <w:szCs w:val="24"/>
          <w:lang w:eastAsia="lt-LT"/>
        </w:rPr>
      </w:pPr>
      <w:r>
        <w:rPr>
          <w:color w:val="000000"/>
          <w:spacing w:val="-4"/>
          <w:szCs w:val="24"/>
          <w:lang w:eastAsia="lt-LT"/>
        </w:rPr>
        <w:t>2</w:t>
      </w:r>
      <w:r>
        <w:rPr>
          <w:color w:val="000000"/>
          <w:spacing w:val="-4"/>
          <w:szCs w:val="24"/>
          <w:lang w:eastAsia="lt-LT"/>
        </w:rPr>
        <w:t>. Nustatyti, kad Civilinės aviacijos administracija gali įgalioti oro eismo paslaugų teikėją atlikti reglamento priedo SERA.4001, SERA.4005, SERA.4010, SERA.4020, SERA.5020 ir SERA.</w:t>
      </w:r>
      <w:r>
        <w:rPr>
          <w:color w:val="000000"/>
          <w:spacing w:val="-4"/>
          <w:szCs w:val="24"/>
          <w:lang w:eastAsia="lt-LT"/>
        </w:rPr>
        <w:t>5025 punktuose nurodytos kompetentingos institucijos funkcijas.</w:t>
      </w:r>
    </w:p>
    <w:p w14:paraId="0AB8C431" w14:textId="77777777" w:rsidR="00483C16" w:rsidRDefault="005A079C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. Pripažinti netekusiais galios:</w:t>
      </w:r>
    </w:p>
    <w:p w14:paraId="0AB8C432" w14:textId="77777777" w:rsidR="00483C16" w:rsidRDefault="005A079C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3.1</w:t>
      </w:r>
      <w:r>
        <w:rPr>
          <w:color w:val="000000"/>
          <w:szCs w:val="24"/>
          <w:lang w:eastAsia="lt-LT"/>
        </w:rPr>
        <w:t>. Lietuvos Respublikos Vyriausybės 2004 m. rugpjūčio 31 d. nutarimą Nr. 1098 „Dėl Skrydžių taisyklių patvirtinimo“ (Žin., 2004, Nr. </w:t>
      </w:r>
      <w:hyperlink r:id="rId6" w:tgtFrame="_blank" w:history="1">
        <w:r>
          <w:rPr>
            <w:color w:val="0000FF" w:themeColor="hyperlink"/>
            <w:szCs w:val="24"/>
            <w:u w:val="single"/>
            <w:lang w:eastAsia="lt-LT"/>
          </w:rPr>
          <w:t>134-4860</w:t>
        </w:r>
      </w:hyperlink>
      <w:r>
        <w:rPr>
          <w:color w:val="000000"/>
          <w:szCs w:val="24"/>
          <w:lang w:eastAsia="lt-LT"/>
        </w:rPr>
        <w:t>);</w:t>
      </w:r>
    </w:p>
    <w:p w14:paraId="0AB8C433" w14:textId="77777777" w:rsidR="00483C16" w:rsidRDefault="005A079C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3.2</w:t>
      </w:r>
      <w:r>
        <w:rPr>
          <w:color w:val="000000"/>
          <w:szCs w:val="24"/>
          <w:lang w:eastAsia="lt-LT"/>
        </w:rPr>
        <w:t xml:space="preserve">. Lietuvos Respublikos Vyriausybės 2006 m. birželio 29 d. nutarimą Nr. 650 „Dėl Lietuvos Respublikos Vyriausybės 2004 m. rugpjūčio 31 d. nutarimo Nr. 1098 „Dėl Skrydžių </w:t>
      </w:r>
      <w:r>
        <w:rPr>
          <w:color w:val="000000"/>
          <w:szCs w:val="24"/>
          <w:lang w:eastAsia="lt-LT"/>
        </w:rPr>
        <w:t>taisyklių patvirtinimo“ pakeitimo“ (Žin., 2006, Nr. </w:t>
      </w:r>
      <w:hyperlink r:id="rId7" w:tgtFrame="_blank" w:history="1">
        <w:r>
          <w:rPr>
            <w:color w:val="0000FF" w:themeColor="hyperlink"/>
            <w:szCs w:val="24"/>
            <w:u w:val="single"/>
            <w:lang w:eastAsia="lt-LT"/>
          </w:rPr>
          <w:t>74-2830</w:t>
        </w:r>
      </w:hyperlink>
      <w:r>
        <w:rPr>
          <w:color w:val="000000"/>
          <w:szCs w:val="24"/>
          <w:lang w:eastAsia="lt-LT"/>
        </w:rPr>
        <w:t>);</w:t>
      </w:r>
    </w:p>
    <w:p w14:paraId="0AB8C434" w14:textId="77777777" w:rsidR="00483C16" w:rsidRDefault="005A079C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3.3</w:t>
      </w:r>
      <w:r>
        <w:rPr>
          <w:color w:val="000000"/>
          <w:szCs w:val="24"/>
          <w:lang w:eastAsia="lt-LT"/>
        </w:rPr>
        <w:t xml:space="preserve">. Lietuvos Respublikos Vyriausybės 2007 m. sausio 4 d. nutarimą Nr. 9 „Dėl Lietuvos Respublikos Vyriausybės </w:t>
      </w:r>
      <w:r>
        <w:rPr>
          <w:color w:val="000000"/>
          <w:szCs w:val="24"/>
          <w:lang w:eastAsia="lt-LT"/>
        </w:rPr>
        <w:t>2004 m. rugpjūčio 31 d. nutarimo Nr. 1098 „Dėl Skrydžių taisyklių patvirtinimo“ pakeitimo“ (Žin., 2007, Nr. </w:t>
      </w:r>
      <w:hyperlink r:id="rId8" w:tgtFrame="_blank" w:history="1">
        <w:r>
          <w:rPr>
            <w:color w:val="0000FF" w:themeColor="hyperlink"/>
            <w:szCs w:val="24"/>
            <w:u w:val="single"/>
            <w:lang w:eastAsia="lt-LT"/>
          </w:rPr>
          <w:t>2-81</w:t>
        </w:r>
      </w:hyperlink>
      <w:r>
        <w:rPr>
          <w:color w:val="000000"/>
          <w:szCs w:val="24"/>
          <w:lang w:eastAsia="lt-LT"/>
        </w:rPr>
        <w:t>);</w:t>
      </w:r>
    </w:p>
    <w:p w14:paraId="0AB8C435" w14:textId="77777777" w:rsidR="00483C16" w:rsidRDefault="005A079C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3.4</w:t>
      </w:r>
      <w:r>
        <w:rPr>
          <w:color w:val="000000"/>
          <w:szCs w:val="24"/>
          <w:lang w:eastAsia="lt-LT"/>
        </w:rPr>
        <w:t>. Lietuvos Respublikos Vyriausybės 2012 m. kovo 14 d. n</w:t>
      </w:r>
      <w:r>
        <w:rPr>
          <w:color w:val="000000"/>
          <w:szCs w:val="24"/>
          <w:lang w:eastAsia="lt-LT"/>
        </w:rPr>
        <w:t>utarimą Nr. 290 „Dėl Lietuvos Respublikos Vyriausybės 2004 m. rugpjūčio 31 d. nutarimo Nr. 1098 „Dėl Skrydžių taisyklių patvirtinimo“ pakeitimo“ (Žin., 2012, Nr. </w:t>
      </w:r>
      <w:hyperlink r:id="rId9" w:tgtFrame="_blank" w:history="1">
        <w:r>
          <w:rPr>
            <w:color w:val="0000FF" w:themeColor="hyperlink"/>
            <w:szCs w:val="24"/>
            <w:u w:val="single"/>
            <w:lang w:eastAsia="lt-LT"/>
          </w:rPr>
          <w:t>34-1629</w:t>
        </w:r>
      </w:hyperlink>
      <w:r>
        <w:rPr>
          <w:color w:val="000000"/>
          <w:szCs w:val="24"/>
          <w:lang w:eastAsia="lt-LT"/>
        </w:rPr>
        <w:t>).</w:t>
      </w:r>
    </w:p>
    <w:p w14:paraId="0AB8C437" w14:textId="1FB9E789" w:rsidR="00483C16" w:rsidRDefault="005A079C" w:rsidP="005A079C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</w:t>
      </w:r>
      <w:r>
        <w:rPr>
          <w:color w:val="000000"/>
          <w:szCs w:val="24"/>
          <w:lang w:eastAsia="lt-LT"/>
        </w:rPr>
        <w:t xml:space="preserve">. Šis nutarimas įsigalioja 2014 m. sausio 1 dieną. </w:t>
      </w:r>
    </w:p>
    <w:p w14:paraId="5A49D423" w14:textId="77777777" w:rsidR="005A079C" w:rsidRDefault="005A079C">
      <w:pPr>
        <w:widowControl w:val="0"/>
        <w:tabs>
          <w:tab w:val="right" w:pos="9071"/>
        </w:tabs>
        <w:suppressAutoHyphens/>
        <w:rPr>
          <w:caps/>
          <w:color w:val="000000"/>
          <w:szCs w:val="24"/>
          <w:lang w:eastAsia="lt-LT"/>
        </w:rPr>
      </w:pPr>
    </w:p>
    <w:p w14:paraId="367A6ED0" w14:textId="77777777" w:rsidR="005A079C" w:rsidRDefault="005A079C">
      <w:pPr>
        <w:widowControl w:val="0"/>
        <w:tabs>
          <w:tab w:val="right" w:pos="9071"/>
        </w:tabs>
        <w:suppressAutoHyphens/>
        <w:rPr>
          <w:caps/>
          <w:color w:val="000000"/>
          <w:szCs w:val="24"/>
          <w:lang w:eastAsia="lt-LT"/>
        </w:rPr>
      </w:pPr>
    </w:p>
    <w:p w14:paraId="11F9F257" w14:textId="77777777" w:rsidR="005A079C" w:rsidRDefault="005A079C">
      <w:pPr>
        <w:widowControl w:val="0"/>
        <w:tabs>
          <w:tab w:val="right" w:pos="9071"/>
        </w:tabs>
        <w:suppressAutoHyphens/>
        <w:rPr>
          <w:caps/>
          <w:color w:val="000000"/>
          <w:szCs w:val="24"/>
          <w:lang w:eastAsia="lt-LT"/>
        </w:rPr>
      </w:pPr>
    </w:p>
    <w:p w14:paraId="0AB8C438" w14:textId="5D5C3C19" w:rsidR="00483C16" w:rsidRDefault="005A079C">
      <w:pPr>
        <w:widowControl w:val="0"/>
        <w:tabs>
          <w:tab w:val="right" w:pos="9071"/>
        </w:tabs>
        <w:suppressAutoHyphens/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Ministras Pirmininkas</w:t>
      </w:r>
      <w:r>
        <w:rPr>
          <w:caps/>
          <w:color w:val="000000"/>
          <w:szCs w:val="24"/>
          <w:lang w:eastAsia="lt-LT"/>
        </w:rPr>
        <w:tab/>
        <w:t>Algirdas Butkevičius</w:t>
      </w:r>
    </w:p>
    <w:p w14:paraId="0AB8C439" w14:textId="77777777" w:rsidR="00483C16" w:rsidRDefault="00483C16">
      <w:pPr>
        <w:widowControl w:val="0"/>
        <w:tabs>
          <w:tab w:val="right" w:pos="9071"/>
        </w:tabs>
        <w:suppressAutoHyphens/>
        <w:jc w:val="center"/>
        <w:rPr>
          <w:color w:val="000000"/>
          <w:szCs w:val="24"/>
          <w:lang w:eastAsia="lt-LT"/>
        </w:rPr>
      </w:pPr>
    </w:p>
    <w:p w14:paraId="3CD29FBD" w14:textId="77777777" w:rsidR="005A079C" w:rsidRDefault="005A079C">
      <w:pPr>
        <w:widowControl w:val="0"/>
        <w:tabs>
          <w:tab w:val="right" w:pos="9071"/>
        </w:tabs>
        <w:suppressAutoHyphens/>
        <w:jc w:val="center"/>
        <w:rPr>
          <w:color w:val="000000"/>
          <w:szCs w:val="24"/>
          <w:lang w:eastAsia="lt-LT"/>
        </w:rPr>
      </w:pPr>
    </w:p>
    <w:p w14:paraId="7746EEF9" w14:textId="77777777" w:rsidR="005A079C" w:rsidRDefault="005A079C">
      <w:pPr>
        <w:widowControl w:val="0"/>
        <w:tabs>
          <w:tab w:val="right" w:pos="9071"/>
        </w:tabs>
        <w:suppressAutoHyphens/>
        <w:jc w:val="center"/>
        <w:rPr>
          <w:color w:val="000000"/>
          <w:szCs w:val="24"/>
          <w:lang w:eastAsia="lt-LT"/>
        </w:rPr>
      </w:pPr>
      <w:bookmarkStart w:id="0" w:name="_GoBack"/>
      <w:bookmarkEnd w:id="0"/>
    </w:p>
    <w:p w14:paraId="0AB8C43A" w14:textId="77777777" w:rsidR="00483C16" w:rsidRDefault="005A079C">
      <w:pPr>
        <w:widowControl w:val="0"/>
        <w:tabs>
          <w:tab w:val="right" w:pos="9071"/>
        </w:tabs>
        <w:suppressAutoHyphens/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Susisiekimo ministras</w:t>
      </w:r>
      <w:r>
        <w:rPr>
          <w:caps/>
          <w:color w:val="000000"/>
          <w:szCs w:val="24"/>
          <w:lang w:eastAsia="lt-LT"/>
        </w:rPr>
        <w:tab/>
        <w:t>Rimantas Sinkevičius</w:t>
      </w:r>
    </w:p>
    <w:p w14:paraId="0AB8C43B" w14:textId="6D7EEBBF" w:rsidR="00483C16" w:rsidRDefault="00483C16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</w:p>
    <w:p w14:paraId="0AB8C43D" w14:textId="2241F634" w:rsidR="00483C16" w:rsidRDefault="005A079C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</w:p>
    <w:sectPr w:rsidR="00483C16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CD"/>
    <w:rsid w:val="00483C16"/>
    <w:rsid w:val="005967CD"/>
    <w:rsid w:val="005A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C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A07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A07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ntTable" Target="fontTable.xml"/>
  <Relationship Id="rId11" Type="http://schemas.openxmlformats.org/officeDocument/2006/relationships/glossaryDocument" Target="glossary/document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s://www.e-tar.lt/portal/lt/legalAct/TAR.4410FC1B2913"/>
  <Relationship Id="rId7" Type="http://schemas.openxmlformats.org/officeDocument/2006/relationships/hyperlink" TargetMode="External" Target="https://www.e-tar.lt/portal/lt/legalAct/TAR.6F182245D215"/>
  <Relationship Id="rId8" Type="http://schemas.openxmlformats.org/officeDocument/2006/relationships/hyperlink" TargetMode="External" Target="https://www.e-tar.lt/portal/lt/legalAct/TAR.67B06EF7A8F8"/>
  <Relationship Id="rId9" Type="http://schemas.openxmlformats.org/officeDocument/2006/relationships/hyperlink" TargetMode="External" Target="https://www.e-tar.lt/portal/lt/legalAct/TAR.13AEB5F8A5CE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89"/>
    <w:rsid w:val="00E3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3338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333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1723</Words>
  <Characters>983</Characters>
  <Application>Microsoft Office Word</Application>
  <DocSecurity>0</DocSecurity>
  <Lines>8</Lines>
  <Paragraphs>5</Paragraphs>
  <ScaleCrop>false</ScaleCrop>
  <Company/>
  <LinksUpToDate>false</LinksUpToDate>
  <CharactersWithSpaces>2701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2015-10-03T21:48:00Z</dcterms:created>
  <dc:creator>Rima</dc:creator>
  <lastModifiedBy>BODIN Aušra</lastModifiedBy>
  <dcterms:modified xsi:type="dcterms:W3CDTF">2018-12-13T07:16:00Z</dcterms:modified>
  <revision>3</revision>
  <dc:title>LIETUVOS RESPUBLIKOS VYRIAUSYBĖS</dc:title>
</coreProperties>
</file>