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KREDITO UNIJŲ ĮSTATYMO 56 IR 61 STRAIPSNIŲ PAKEITIMO </w:t>
      </w:r>
    </w:p>
    <w:p>
      <w:pPr>
        <w:keepLines/>
        <w:widowControl w:val="0"/>
        <w:suppressAutoHyphens/>
        <w:jc w:val="center"/>
        <w:rPr>
          <w:rFonts w:ascii="Times New Roman Bold" w:hAnsi="Times New Roman Bold"/>
          <w:b/>
          <w:bCs/>
          <w:caps/>
          <w:color w:val="000000"/>
          <w:spacing w:val="60"/>
        </w:rPr>
      </w:pPr>
      <w:r>
        <w:rPr>
          <w:rFonts w:ascii="Times New Roman Bold" w:hAnsi="Times New Roman Bold"/>
          <w:b/>
          <w:bCs/>
          <w:caps/>
          <w:color w:val="000000"/>
          <w:spacing w:val="60"/>
        </w:rPr>
        <w:t>ĮSTATYMAS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lapkričio 17 d. Nr. XI-1669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1995, Nr. </w:t>
      </w:r>
      <w:fldSimple w:instr="HYPERLINK https://www.e-tar.lt/portal/lt/legalAct/TAR.DE0B1FF26D01 \t _blank">
        <w:r>
          <w:rPr>
            <w:color w:val="0000FF" w:themeColor="hyperlink"/>
            <w:u w:val="single"/>
          </w:rPr>
          <w:t>26-578</w:t>
        </w:r>
      </w:fldSimple>
      <w:r>
        <w:rPr>
          <w:color w:val="000000"/>
        </w:rPr>
        <w:t xml:space="preserve">; 2008, Nr. </w:t>
      </w:r>
      <w:fldSimple w:instr="HYPERLINK https://www.e-tar.lt/portal/lt/legalAct/TAR.DA5DEF72950D \t _blank">
        <w:r>
          <w:rPr>
            <w:color w:val="0000FF" w:themeColor="hyperlink"/>
            <w:u w:val="single"/>
          </w:rPr>
          <w:t>76-3003</w:t>
        </w:r>
      </w:fldSimple>
      <w:r>
        <w:rPr>
          <w:color w:val="000000"/>
        </w:rPr>
        <w:t>)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56 straipsnio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56 straipsnį ir jį išdėstyti taip: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„</w:t>
      </w:r>
      <w:r>
        <w:rPr>
          <w:b/>
          <w:bCs/>
          <w:color w:val="000000"/>
        </w:rPr>
        <w:t>56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Priežiūros tikslams gautos informacijos apsauga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Kredito unijų priežiūros tikslams gautos informacijos apsaugai </w:t>
      </w:r>
      <w:r>
        <w:rPr>
          <w:i/>
          <w:iCs/>
          <w:color w:val="000000"/>
        </w:rPr>
        <w:t xml:space="preserve">mutatis mutandis </w:t>
      </w:r>
      <w:r>
        <w:rPr>
          <w:color w:val="000000"/>
        </w:rPr>
        <w:t>taikomas Lietuvos Respublikos bankų įstatymo 65 straipsnis.“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61 straipsnio 1 dalies 8 punkto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61 straipsnio 1 dalies 8 punktą ir jį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</w:t>
      </w:r>
      <w:r>
        <w:rPr>
          <w:color w:val="000000"/>
        </w:rPr>
        <w:t>) atšaukti išduotą licenciją ar laikinai sustabdyti jos galiojimą tol, kol egzistuoja pagrindas licenciją sustabdyti; išnykus licencijos sustabdymo pagrindui, priežiūros institucija nedelsdama, bet ne vėliau kaip per 5 darbo dienas nuo tada, kai įsitikino, kad pagrindas išnyko, atnaujina licencijos galiojimą.“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įsigalioja 2012 m. sausio 1 d.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960</Characters>
  <Application>Microsoft Office Word</Application>
  <DocSecurity>4</DocSecurity>
  <Lines>33</Lines>
  <Paragraphs>20</Paragraphs>
  <ScaleCrop>false</ScaleCrop>
  <Company/>
  <LinksUpToDate>false</LinksUpToDate>
  <CharactersWithSpaces>1086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2015-09-19T15:21:00Z</dcterms:created>
  <dc:creator>Rima</dc:creator>
  <lastModifiedBy>Adlib User</lastModifiedBy>
  <dcterms:modified xsi:type="dcterms:W3CDTF">2015-09-19T15:21:00Z</dcterms:modified>
  <revision>2</revision>
  <dc:title>LIETUVOS RESPUBLIKOS KREDITO UNIJŲ ĮSTATYMO 56 IR 61 STRAIPSNIŲ PAKEITIMO ĮSTATYMAS</dc:title>
</coreProperties>
</file>