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VALSTYBĖS TARNYBOS ĮSTATYMO 62 IR 69 STRAIPSNIŲ PAKEITIMO</w:t>
      </w:r>
    </w:p>
    <w:p>
      <w:pPr>
        <w:jc w:val="center"/>
        <w:rPr>
          <w:b/>
        </w:rPr>
      </w:pPr>
      <w:r>
        <w:rPr>
          <w:b/>
        </w:rPr>
        <w:t>Į S T A T Y M A S</w:t>
      </w:r>
    </w:p>
    <w:p>
      <w:pPr>
        <w:jc w:val="center"/>
      </w:pPr>
    </w:p>
    <w:p>
      <w:pPr>
        <w:jc w:val="center"/>
      </w:pPr>
      <w:r>
        <w:t>2001 m. spalio 18 d. Nr. IX-564</w:t>
      </w:r>
    </w:p>
    <w:p>
      <w:pPr>
        <w:jc w:val="center"/>
      </w:pPr>
      <w:r>
        <w:t>Vilnius</w:t>
      </w:r>
    </w:p>
    <w:p>
      <w:pPr>
        <w:jc w:val="cente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2000, Nr. </w:t>
      </w:r>
      <w:fldSimple w:instr="HYPERLINK https://www.e-tar.lt/portal/lt/legalAct/TAR.905114AB2F6E \t _blank">
        <w:r>
          <w:rPr>
            <w:color w:val="0000FF" w:themeColor="hyperlink"/>
            <w:u w:val="single"/>
          </w:rPr>
          <w:t>75-2270</w:t>
        </w:r>
      </w:fldSimple>
      <w:r>
        <w:rPr>
          <w:color w:val="000000"/>
        </w:rPr>
        <w:t xml:space="preserve">, Nr. </w:t>
      </w:r>
      <w:fldSimple w:instr="HYPERLINK https://www.e-tar.lt/portal/lt/legalAct/TAR.B9165AA625E7 \t _blank">
        <w:r>
          <w:rPr>
            <w:color w:val="0000FF" w:themeColor="hyperlink"/>
            <w:u w:val="single"/>
          </w:rPr>
          <w:t>102-3213</w:t>
        </w:r>
      </w:fldSimple>
      <w:r>
        <w:rPr>
          <w:color w:val="000000"/>
        </w:rPr>
        <w:t xml:space="preserve">, Nr. </w:t>
      </w:r>
      <w:fldSimple w:instr="HYPERLINK https://www.e-tar.lt/portal/lt/legalAct/TAR.4CE00B2DB564 \t _blank">
        <w:r>
          <w:rPr>
            <w:color w:val="0000FF" w:themeColor="hyperlink"/>
            <w:u w:val="single"/>
          </w:rPr>
          <w:t>111-3586</w:t>
        </w:r>
      </w:fldSimple>
      <w:r>
        <w:rPr>
          <w:color w:val="000000"/>
        </w:rPr>
        <w:t xml:space="preserve">; 2001, Nr. </w:t>
      </w:r>
      <w:fldSimple w:instr="HYPERLINK https://www.e-tar.lt/portal/lt/legalAct/TAR.9CB2051E732C \t _blank">
        <w:r>
          <w:rPr>
            <w:color w:val="0000FF" w:themeColor="hyperlink"/>
            <w:u w:val="single"/>
          </w:rPr>
          <w:t>37-1231</w:t>
        </w:r>
      </w:fldSimple>
      <w:r>
        <w:rPr>
          <w:color w:val="000000"/>
        </w:rPr>
        <w:t xml:space="preserve">, Nr. </w:t>
      </w:r>
      <w:fldSimple w:instr="HYPERLINK https://www.e-tar.lt/portal/lt/legalAct/TAR.9234391801EB \t _blank">
        <w:r>
          <w:rPr>
            <w:color w:val="0000FF" w:themeColor="hyperlink"/>
            <w:u w:val="single"/>
          </w:rPr>
          <w:t>63-2278</w:t>
        </w:r>
      </w:fldSimple>
      <w:r>
        <w:rPr>
          <w:color w:val="000000"/>
        </w:rPr>
        <w:t xml:space="preserve">, Nr. </w:t>
      </w:r>
      <w:fldSimple w:instr="HYPERLINK https://www.e-tar.lt/portal/lt/legalAct/TAR.59BB042C4761 \t _blank">
        <w:r>
          <w:rPr>
            <w:color w:val="0000FF" w:themeColor="hyperlink"/>
            <w:u w:val="single"/>
          </w:rPr>
          <w:t>85-2972</w:t>
        </w:r>
      </w:fldSimple>
      <w:r>
        <w:rPr>
          <w:color w:val="000000"/>
        </w:rPr>
        <w:t>)</w:t>
      </w:r>
    </w:p>
    <w:p>
      <w:pPr>
        <w:jc w:val="center"/>
        <w:rPr>
          <w:color w:val="000000"/>
        </w:rPr>
      </w:pPr>
    </w:p>
    <w:p>
      <w:pPr>
        <w:ind w:firstLine="709"/>
        <w:jc w:val="both"/>
        <w:rPr>
          <w:b/>
          <w:color w:val="000000"/>
        </w:rPr>
      </w:pPr>
      <w:r>
        <w:rPr>
          <w:b/>
          <w:color w:val="000000"/>
        </w:rPr>
        <w:t>1</w:t>
      </w:r>
      <w:r>
        <w:rPr>
          <w:b/>
          <w:color w:val="000000"/>
        </w:rPr>
        <w:t xml:space="preserve"> straipsnis. </w:t>
      </w:r>
      <w:r>
        <w:rPr>
          <w:b/>
          <w:color w:val="000000"/>
        </w:rPr>
        <w:t>62 straipsnio 10 dalies pakeitimas</w:t>
      </w:r>
    </w:p>
    <w:p>
      <w:pPr>
        <w:ind w:firstLine="709"/>
        <w:jc w:val="both"/>
        <w:rPr>
          <w:color w:val="000000"/>
        </w:rPr>
      </w:pPr>
      <w:r>
        <w:rPr>
          <w:color w:val="000000"/>
        </w:rPr>
        <w:t>62 straipsnio 10 dalyje vietoj datos „2002 m. sausio 1 d.“ įrašyti datą „2002 m. liepos 1 d.“ ir šią dalį išdėstyti taip:</w:t>
      </w:r>
    </w:p>
    <w:p>
      <w:pPr>
        <w:ind w:firstLine="709"/>
        <w:jc w:val="both"/>
        <w:rPr>
          <w:color w:val="000000"/>
        </w:rPr>
      </w:pPr>
      <w:r>
        <w:rPr>
          <w:color w:val="000000"/>
        </w:rPr>
        <w:t>„</w:t>
      </w:r>
      <w:r>
        <w:rPr>
          <w:color w:val="000000"/>
        </w:rPr>
        <w:t>10</w:t>
      </w:r>
      <w:r>
        <w:rPr>
          <w:color w:val="000000"/>
        </w:rPr>
        <w:t>. Viešojo administravimo valstybės tarnautojams ankstesnės darbo apmokėjimo sąlygos lieka galioti iki 2001 m. spalio 1 d., o paslaugų valstybės tarnautojams – iki 2002 m. liepos 1 d.“</w:t>
      </w:r>
    </w:p>
    <w:p>
      <w:pPr>
        <w:ind w:firstLine="709"/>
      </w:pPr>
    </w:p>
    <w:p>
      <w:pPr>
        <w:ind w:firstLine="709"/>
        <w:jc w:val="both"/>
        <w:rPr>
          <w:b/>
          <w:color w:val="000000"/>
        </w:rPr>
      </w:pPr>
      <w:r>
        <w:rPr>
          <w:b/>
          <w:color w:val="000000"/>
        </w:rPr>
        <w:t>2</w:t>
      </w:r>
      <w:r>
        <w:rPr>
          <w:b/>
          <w:color w:val="000000"/>
        </w:rPr>
        <w:t xml:space="preserve"> straipsnis. </w:t>
      </w:r>
      <w:r>
        <w:rPr>
          <w:b/>
          <w:color w:val="000000"/>
        </w:rPr>
        <w:t>69 straipsnio 1 dalies, 2 dalies 2 punkto, 3 ir 4 dalių pakeitimas</w:t>
      </w:r>
    </w:p>
    <w:p>
      <w:pPr>
        <w:ind w:firstLine="709"/>
        <w:jc w:val="both"/>
        <w:rPr>
          <w:color w:val="000000"/>
        </w:rPr>
      </w:pPr>
      <w:r>
        <w:rPr>
          <w:color w:val="000000"/>
        </w:rPr>
        <w:t>1</w:t>
      </w:r>
      <w:r>
        <w:rPr>
          <w:color w:val="000000"/>
        </w:rPr>
        <w:t>. 69 straipsnio 1 dalyje vietoj datos „2002 m. sausio 1 d.“ įrašyti datą „2002 m. liepos 1 d.“ ir šią dalį išdėstyti taip:</w:t>
      </w:r>
    </w:p>
    <w:p>
      <w:pPr>
        <w:ind w:firstLine="709"/>
        <w:jc w:val="both"/>
        <w:rPr>
          <w:color w:val="000000"/>
        </w:rPr>
      </w:pPr>
      <w:r>
        <w:rPr>
          <w:color w:val="000000"/>
        </w:rPr>
        <w:t>„</w:t>
      </w:r>
      <w:r>
        <w:rPr>
          <w:color w:val="000000"/>
        </w:rPr>
        <w:t>1</w:t>
      </w:r>
      <w:r>
        <w:rPr>
          <w:color w:val="000000"/>
        </w:rPr>
        <w:t>. Šio įstatymo šeštajame skirsnyje nustatyta darbo apmokėjimo sistema pradedama įgyvendinti pagal šio straipsnio 2, 3 ir 4 dalių nuostatas nuo 2001 m. spalio 1 d., išskyrus paslaugų valstybės tarnautojus, kuriems ši darbo apmokėjimo sistema taikoma nuo</w:t>
      </w:r>
      <w:r>
        <w:rPr>
          <w:b/>
          <w:color w:val="000000"/>
        </w:rPr>
        <w:t xml:space="preserve"> </w:t>
      </w:r>
      <w:r>
        <w:rPr>
          <w:color w:val="000000"/>
        </w:rPr>
        <w:t>2002 m. liepos 1 d.“</w:t>
      </w:r>
    </w:p>
    <w:p>
      <w:pPr>
        <w:ind w:firstLine="709"/>
        <w:jc w:val="both"/>
        <w:rPr>
          <w:color w:val="000000"/>
        </w:rPr>
      </w:pPr>
      <w:r>
        <w:rPr>
          <w:color w:val="000000"/>
        </w:rPr>
        <w:t>2</w:t>
      </w:r>
      <w:r>
        <w:rPr>
          <w:color w:val="000000"/>
        </w:rPr>
        <w:t>. Pakeisti 69 straipsnio 2 dalies 2 punktą ir jį išdėstyti taip:</w:t>
      </w:r>
    </w:p>
    <w:p>
      <w:pPr>
        <w:ind w:firstLine="709"/>
        <w:jc w:val="both"/>
        <w:rPr>
          <w:color w:val="000000"/>
        </w:rPr>
      </w:pPr>
      <w:r>
        <w:rPr>
          <w:color w:val="000000"/>
        </w:rPr>
        <w:t>„</w:t>
      </w:r>
      <w:r>
        <w:rPr>
          <w:color w:val="000000"/>
        </w:rPr>
        <w:t>2</w:t>
      </w:r>
      <w:r>
        <w:rPr>
          <w:color w:val="000000"/>
        </w:rPr>
        <w:t>) pereinamuoju laikotarpiu – iki 2004 m. liepos 1 d. – buvęs darbo užmokestis nuosekliai mažinamas ir priartinamas prie naujo darbo užmokesčio dydžio, kiekvieną mėnesį valstybės tarnautojui priklausantį darbo užmokestį apskaičiuojant pagal formulę (kol susilygins su pagal šį įstatymą nustatytu darbo užmokesčiu):</w:t>
      </w:r>
    </w:p>
    <w:p>
      <w:pPr>
        <w:ind w:firstLine="709"/>
        <w:jc w:val="both"/>
        <w:rPr>
          <w:color w:val="000000"/>
        </w:rPr>
      </w:pPr>
      <w:r>
        <w:rPr>
          <w:color w:val="000000"/>
        </w:rPr>
        <w:t>A = C – [ (C – B) x M], čia:</w:t>
      </w:r>
    </w:p>
    <w:p>
      <w:pPr>
        <w:ind w:firstLine="709"/>
        <w:jc w:val="both"/>
        <w:rPr>
          <w:color w:val="000000"/>
        </w:rPr>
      </w:pPr>
      <w:r>
        <w:rPr>
          <w:color w:val="000000"/>
        </w:rPr>
        <w:t>A – pereinamuoju laikotarpiu valstybės tarnautojui priklausantis darbo užmokestis;</w:t>
      </w:r>
    </w:p>
    <w:p>
      <w:pPr>
        <w:ind w:firstLine="709"/>
        <w:jc w:val="both"/>
        <w:rPr>
          <w:color w:val="000000"/>
        </w:rPr>
      </w:pPr>
      <w:r>
        <w:rPr>
          <w:color w:val="000000"/>
        </w:rPr>
        <w:t>B – pagal šį įstatymą nustatytas valstybės tarnautojo darbo užmokestis;</w:t>
      </w:r>
    </w:p>
    <w:p>
      <w:pPr>
        <w:ind w:firstLine="709"/>
        <w:jc w:val="both"/>
        <w:rPr>
          <w:color w:val="000000"/>
        </w:rPr>
      </w:pPr>
      <w:r>
        <w:rPr>
          <w:color w:val="000000"/>
        </w:rPr>
        <w:t>C – valstybės tarnautojo buvęs darbo užmokestis (šio straipsnio 2 dalies 1 punktas);</w:t>
      </w:r>
    </w:p>
    <w:p>
      <w:pPr>
        <w:ind w:firstLine="709"/>
        <w:jc w:val="both"/>
        <w:rPr>
          <w:color w:val="000000"/>
        </w:rPr>
      </w:pPr>
      <w:r>
        <w:rPr>
          <w:color w:val="000000"/>
        </w:rPr>
        <w:t>M – valstybės tarnautojo darbo užmokesčio perskaičiavimo koeficientas, nuosekliai mažinantis buvusį darbo užmokestį. Nustatomi šie pereinamojo laikotarpio koeficientai viešojo administravimo valstybės tarnautojams – M (viešojo administravimo) ir paslaugų valstybės tarnautojams – M (paslaugų):</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192"/>
        <w:gridCol w:w="1093"/>
        <w:gridCol w:w="1192"/>
        <w:gridCol w:w="1192"/>
        <w:gridCol w:w="994"/>
        <w:gridCol w:w="1093"/>
        <w:gridCol w:w="397"/>
      </w:tblGrid>
      <w:tr>
        <w:trPr>
          <w:cantSplit/>
        </w:trPr>
        <w:tc>
          <w:tcPr>
            <w:tcW w:w="2484" w:type="dxa"/>
          </w:tcPr>
          <w:p>
            <w:pPr>
              <w:jc w:val="center"/>
              <w:rPr>
                <w:color w:val="000000"/>
                <w:sz w:val="20"/>
              </w:rPr>
            </w:pPr>
            <w:r>
              <w:rPr>
                <w:color w:val="000000"/>
                <w:sz w:val="20"/>
              </w:rPr>
              <w:t>Metai</w:t>
            </w:r>
          </w:p>
        </w:tc>
        <w:tc>
          <w:tcPr>
            <w:tcW w:w="1192" w:type="dxa"/>
          </w:tcPr>
          <w:p>
            <w:pPr>
              <w:jc w:val="center"/>
              <w:rPr>
                <w:color w:val="000000"/>
                <w:sz w:val="20"/>
              </w:rPr>
            </w:pPr>
            <w:r>
              <w:rPr>
                <w:color w:val="000000"/>
                <w:sz w:val="20"/>
              </w:rPr>
              <w:t>2001</w:t>
            </w:r>
          </w:p>
        </w:tc>
        <w:tc>
          <w:tcPr>
            <w:tcW w:w="2285" w:type="dxa"/>
            <w:gridSpan w:val="2"/>
          </w:tcPr>
          <w:p>
            <w:pPr>
              <w:jc w:val="center"/>
              <w:rPr>
                <w:color w:val="000000"/>
                <w:sz w:val="20"/>
              </w:rPr>
            </w:pPr>
            <w:r>
              <w:rPr>
                <w:color w:val="000000"/>
                <w:sz w:val="20"/>
              </w:rPr>
              <w:t>2002</w:t>
            </w:r>
          </w:p>
        </w:tc>
        <w:tc>
          <w:tcPr>
            <w:tcW w:w="2186" w:type="dxa"/>
            <w:gridSpan w:val="2"/>
          </w:tcPr>
          <w:p>
            <w:pPr>
              <w:jc w:val="center"/>
              <w:rPr>
                <w:color w:val="000000"/>
                <w:sz w:val="20"/>
              </w:rPr>
            </w:pPr>
            <w:r>
              <w:rPr>
                <w:color w:val="000000"/>
                <w:sz w:val="20"/>
              </w:rPr>
              <w:t>2003</w:t>
            </w:r>
          </w:p>
        </w:tc>
        <w:tc>
          <w:tcPr>
            <w:tcW w:w="1093" w:type="dxa"/>
          </w:tcPr>
          <w:p>
            <w:pPr>
              <w:jc w:val="center"/>
              <w:rPr>
                <w:color w:val="000000"/>
                <w:sz w:val="20"/>
              </w:rPr>
            </w:pPr>
            <w:r>
              <w:rPr>
                <w:color w:val="000000"/>
                <w:sz w:val="20"/>
              </w:rPr>
              <w:t>2004</w:t>
            </w:r>
          </w:p>
        </w:tc>
        <w:tc>
          <w:tcPr>
            <w:tcW w:w="397" w:type="dxa"/>
            <w:tcBorders>
              <w:top w:val="nil"/>
              <w:bottom w:val="nil"/>
              <w:right w:val="nil"/>
            </w:tcBorders>
          </w:tcPr>
          <w:p>
            <w:pPr>
              <w:jc w:val="center"/>
              <w:rPr>
                <w:color w:val="000000"/>
                <w:sz w:val="20"/>
              </w:rPr>
            </w:pPr>
          </w:p>
        </w:tc>
      </w:tr>
      <w:tr>
        <w:tc>
          <w:tcPr>
            <w:tcW w:w="2484" w:type="dxa"/>
          </w:tcPr>
          <w:p>
            <w:pPr>
              <w:jc w:val="center"/>
              <w:rPr>
                <w:color w:val="000000"/>
                <w:sz w:val="20"/>
              </w:rPr>
            </w:pPr>
            <w:r>
              <w:rPr>
                <w:color w:val="000000"/>
                <w:sz w:val="20"/>
              </w:rPr>
              <w:t>Pusmečiai</w:t>
            </w:r>
          </w:p>
        </w:tc>
        <w:tc>
          <w:tcPr>
            <w:tcW w:w="1192" w:type="dxa"/>
          </w:tcPr>
          <w:p>
            <w:pPr>
              <w:jc w:val="center"/>
              <w:rPr>
                <w:color w:val="000000"/>
                <w:sz w:val="20"/>
              </w:rPr>
            </w:pPr>
            <w:r>
              <w:rPr>
                <w:color w:val="000000"/>
                <w:sz w:val="20"/>
              </w:rPr>
              <w:t>II</w:t>
            </w:r>
          </w:p>
        </w:tc>
        <w:tc>
          <w:tcPr>
            <w:tcW w:w="1093" w:type="dxa"/>
          </w:tcPr>
          <w:p>
            <w:pPr>
              <w:jc w:val="center"/>
              <w:rPr>
                <w:color w:val="000000"/>
                <w:sz w:val="20"/>
              </w:rPr>
            </w:pPr>
            <w:r>
              <w:rPr>
                <w:color w:val="000000"/>
                <w:sz w:val="20"/>
              </w:rPr>
              <w:t>I</w:t>
            </w:r>
          </w:p>
        </w:tc>
        <w:tc>
          <w:tcPr>
            <w:tcW w:w="1192" w:type="dxa"/>
          </w:tcPr>
          <w:p>
            <w:pPr>
              <w:jc w:val="center"/>
              <w:rPr>
                <w:color w:val="000000"/>
                <w:sz w:val="20"/>
              </w:rPr>
            </w:pPr>
            <w:r>
              <w:rPr>
                <w:color w:val="000000"/>
                <w:sz w:val="20"/>
              </w:rPr>
              <w:t>II</w:t>
            </w:r>
          </w:p>
        </w:tc>
        <w:tc>
          <w:tcPr>
            <w:tcW w:w="1192" w:type="dxa"/>
          </w:tcPr>
          <w:p>
            <w:pPr>
              <w:jc w:val="center"/>
              <w:rPr>
                <w:color w:val="000000"/>
                <w:sz w:val="20"/>
              </w:rPr>
            </w:pPr>
            <w:r>
              <w:rPr>
                <w:color w:val="000000"/>
                <w:sz w:val="20"/>
              </w:rPr>
              <w:t>I</w:t>
            </w:r>
          </w:p>
        </w:tc>
        <w:tc>
          <w:tcPr>
            <w:tcW w:w="994" w:type="dxa"/>
          </w:tcPr>
          <w:p>
            <w:pPr>
              <w:jc w:val="center"/>
              <w:rPr>
                <w:color w:val="000000"/>
                <w:sz w:val="20"/>
              </w:rPr>
            </w:pPr>
            <w:r>
              <w:rPr>
                <w:color w:val="000000"/>
                <w:sz w:val="20"/>
              </w:rPr>
              <w:t>II</w:t>
            </w:r>
          </w:p>
        </w:tc>
        <w:tc>
          <w:tcPr>
            <w:tcW w:w="1093" w:type="dxa"/>
          </w:tcPr>
          <w:p>
            <w:pPr>
              <w:jc w:val="center"/>
              <w:rPr>
                <w:color w:val="000000"/>
                <w:sz w:val="20"/>
              </w:rPr>
            </w:pPr>
            <w:r>
              <w:rPr>
                <w:color w:val="000000"/>
                <w:sz w:val="20"/>
              </w:rPr>
              <w:t>I</w:t>
            </w:r>
          </w:p>
        </w:tc>
        <w:tc>
          <w:tcPr>
            <w:tcW w:w="397" w:type="dxa"/>
            <w:tcBorders>
              <w:top w:val="nil"/>
              <w:bottom w:val="nil"/>
              <w:right w:val="nil"/>
            </w:tcBorders>
          </w:tcPr>
          <w:p>
            <w:pPr>
              <w:jc w:val="center"/>
              <w:rPr>
                <w:color w:val="000000"/>
                <w:sz w:val="20"/>
              </w:rPr>
            </w:pPr>
          </w:p>
        </w:tc>
      </w:tr>
      <w:tr>
        <w:trPr>
          <w:trHeight w:val="845"/>
        </w:trPr>
        <w:tc>
          <w:tcPr>
            <w:tcW w:w="2484" w:type="dxa"/>
          </w:tcPr>
          <w:p>
            <w:pPr>
              <w:jc w:val="center"/>
              <w:rPr>
                <w:color w:val="000000"/>
                <w:sz w:val="20"/>
              </w:rPr>
            </w:pPr>
            <w:r>
              <w:rPr>
                <w:color w:val="000000"/>
                <w:sz w:val="20"/>
              </w:rPr>
              <w:t>M (viešojo administravimo)</w:t>
            </w:r>
          </w:p>
        </w:tc>
        <w:tc>
          <w:tcPr>
            <w:tcW w:w="1192" w:type="dxa"/>
          </w:tcPr>
          <w:p>
            <w:pPr>
              <w:jc w:val="center"/>
              <w:rPr>
                <w:color w:val="000000"/>
                <w:sz w:val="20"/>
              </w:rPr>
            </w:pPr>
            <w:r>
              <w:rPr>
                <w:color w:val="000000"/>
                <w:sz w:val="20"/>
              </w:rPr>
              <w:t>0,1</w:t>
            </w:r>
          </w:p>
        </w:tc>
        <w:tc>
          <w:tcPr>
            <w:tcW w:w="1093" w:type="dxa"/>
          </w:tcPr>
          <w:p>
            <w:pPr>
              <w:jc w:val="center"/>
              <w:rPr>
                <w:color w:val="000000"/>
                <w:sz w:val="20"/>
              </w:rPr>
            </w:pPr>
            <w:r>
              <w:rPr>
                <w:color w:val="000000"/>
                <w:sz w:val="20"/>
              </w:rPr>
              <w:t>0,3</w:t>
            </w:r>
          </w:p>
        </w:tc>
        <w:tc>
          <w:tcPr>
            <w:tcW w:w="1192" w:type="dxa"/>
          </w:tcPr>
          <w:p>
            <w:pPr>
              <w:jc w:val="center"/>
              <w:rPr>
                <w:color w:val="000000"/>
                <w:sz w:val="20"/>
              </w:rPr>
            </w:pPr>
            <w:r>
              <w:rPr>
                <w:color w:val="000000"/>
                <w:sz w:val="20"/>
              </w:rPr>
              <w:t>0,5</w:t>
            </w:r>
          </w:p>
        </w:tc>
        <w:tc>
          <w:tcPr>
            <w:tcW w:w="1192" w:type="dxa"/>
          </w:tcPr>
          <w:p>
            <w:pPr>
              <w:jc w:val="center"/>
              <w:rPr>
                <w:color w:val="000000"/>
                <w:sz w:val="20"/>
              </w:rPr>
            </w:pPr>
            <w:r>
              <w:rPr>
                <w:color w:val="000000"/>
                <w:sz w:val="20"/>
              </w:rPr>
              <w:t>0,7</w:t>
            </w:r>
          </w:p>
        </w:tc>
        <w:tc>
          <w:tcPr>
            <w:tcW w:w="994" w:type="dxa"/>
          </w:tcPr>
          <w:p>
            <w:pPr>
              <w:jc w:val="center"/>
              <w:rPr>
                <w:color w:val="000000"/>
                <w:sz w:val="20"/>
              </w:rPr>
            </w:pPr>
            <w:r>
              <w:rPr>
                <w:color w:val="000000"/>
                <w:sz w:val="20"/>
              </w:rPr>
              <w:t>0,8</w:t>
            </w:r>
          </w:p>
        </w:tc>
        <w:tc>
          <w:tcPr>
            <w:tcW w:w="1093" w:type="dxa"/>
          </w:tcPr>
          <w:p>
            <w:pPr>
              <w:jc w:val="center"/>
              <w:rPr>
                <w:color w:val="000000"/>
                <w:sz w:val="20"/>
              </w:rPr>
            </w:pPr>
            <w:r>
              <w:rPr>
                <w:color w:val="000000"/>
                <w:sz w:val="20"/>
              </w:rPr>
              <w:t>0,9</w:t>
            </w:r>
          </w:p>
        </w:tc>
        <w:tc>
          <w:tcPr>
            <w:tcW w:w="397" w:type="dxa"/>
            <w:tcBorders>
              <w:top w:val="nil"/>
              <w:bottom w:val="nil"/>
              <w:right w:val="nil"/>
            </w:tcBorders>
          </w:tcPr>
          <w:p>
            <w:pPr>
              <w:jc w:val="center"/>
              <w:rPr>
                <w:color w:val="000000"/>
                <w:sz w:val="20"/>
              </w:rPr>
            </w:pPr>
          </w:p>
        </w:tc>
      </w:tr>
      <w:tr>
        <w:tc>
          <w:tcPr>
            <w:tcW w:w="2484" w:type="dxa"/>
          </w:tcPr>
          <w:p>
            <w:pPr>
              <w:jc w:val="center"/>
              <w:rPr>
                <w:color w:val="000000"/>
                <w:sz w:val="20"/>
              </w:rPr>
            </w:pPr>
            <w:r>
              <w:rPr>
                <w:color w:val="000000"/>
                <w:sz w:val="20"/>
              </w:rPr>
              <w:t>M (paslaugų)</w:t>
            </w:r>
          </w:p>
        </w:tc>
        <w:tc>
          <w:tcPr>
            <w:tcW w:w="1192" w:type="dxa"/>
          </w:tcPr>
          <w:p>
            <w:pPr>
              <w:rPr>
                <w:color w:val="000000"/>
                <w:sz w:val="20"/>
              </w:rPr>
            </w:pPr>
            <w:r>
              <w:rPr>
                <w:color w:val="000000"/>
                <w:sz w:val="20"/>
              </w:rPr>
              <w:t>0</w:t>
            </w:r>
          </w:p>
        </w:tc>
        <w:tc>
          <w:tcPr>
            <w:tcW w:w="1093" w:type="dxa"/>
          </w:tcPr>
          <w:p>
            <w:pPr>
              <w:jc w:val="center"/>
              <w:rPr>
                <w:color w:val="000000"/>
                <w:sz w:val="20"/>
              </w:rPr>
            </w:pPr>
            <w:r>
              <w:rPr>
                <w:color w:val="000000"/>
                <w:sz w:val="20"/>
              </w:rPr>
              <w:t>0</w:t>
            </w:r>
          </w:p>
        </w:tc>
        <w:tc>
          <w:tcPr>
            <w:tcW w:w="1192" w:type="dxa"/>
          </w:tcPr>
          <w:p>
            <w:pPr>
              <w:jc w:val="center"/>
              <w:rPr>
                <w:color w:val="000000"/>
                <w:sz w:val="20"/>
              </w:rPr>
            </w:pPr>
            <w:r>
              <w:rPr>
                <w:color w:val="000000"/>
                <w:sz w:val="20"/>
              </w:rPr>
              <w:t>0,2</w:t>
            </w:r>
          </w:p>
        </w:tc>
        <w:tc>
          <w:tcPr>
            <w:tcW w:w="1192" w:type="dxa"/>
          </w:tcPr>
          <w:p>
            <w:pPr>
              <w:jc w:val="center"/>
              <w:rPr>
                <w:color w:val="000000"/>
                <w:sz w:val="20"/>
              </w:rPr>
            </w:pPr>
            <w:r>
              <w:rPr>
                <w:color w:val="000000"/>
                <w:sz w:val="20"/>
              </w:rPr>
              <w:t>0,4</w:t>
            </w:r>
          </w:p>
        </w:tc>
        <w:tc>
          <w:tcPr>
            <w:tcW w:w="994" w:type="dxa"/>
          </w:tcPr>
          <w:p>
            <w:pPr>
              <w:jc w:val="center"/>
              <w:rPr>
                <w:color w:val="000000"/>
                <w:sz w:val="20"/>
              </w:rPr>
            </w:pPr>
            <w:r>
              <w:rPr>
                <w:color w:val="000000"/>
                <w:sz w:val="20"/>
              </w:rPr>
              <w:t>0,6</w:t>
            </w:r>
          </w:p>
        </w:tc>
        <w:tc>
          <w:tcPr>
            <w:tcW w:w="1093" w:type="dxa"/>
          </w:tcPr>
          <w:p>
            <w:pPr>
              <w:jc w:val="center"/>
              <w:rPr>
                <w:color w:val="000000"/>
                <w:sz w:val="20"/>
              </w:rPr>
            </w:pPr>
            <w:r>
              <w:rPr>
                <w:color w:val="000000"/>
                <w:sz w:val="20"/>
              </w:rPr>
              <w:t>0,9</w:t>
            </w:r>
          </w:p>
        </w:tc>
        <w:tc>
          <w:tcPr>
            <w:tcW w:w="397" w:type="dxa"/>
            <w:tcBorders>
              <w:top w:val="nil"/>
              <w:bottom w:val="nil"/>
              <w:right w:val="nil"/>
            </w:tcBorders>
          </w:tcPr>
          <w:p>
            <w:pPr>
              <w:jc w:val="center"/>
              <w:rPr>
                <w:color w:val="000000"/>
                <w:sz w:val="20"/>
              </w:rPr>
            </w:pPr>
            <w:r>
              <w:rPr>
                <w:color w:val="000000"/>
              </w:rPr>
              <w:t>“</w:t>
            </w:r>
          </w:p>
        </w:tc>
      </w:tr>
    </w:tbl>
    <w:p>
      <w:pPr>
        <w:ind w:firstLine="709"/>
        <w:jc w:val="both"/>
        <w:rPr>
          <w:color w:val="000000"/>
        </w:rPr>
      </w:pPr>
      <w:r>
        <w:rPr>
          <w:color w:val="000000"/>
        </w:rPr>
        <w:t>3</w:t>
      </w:r>
      <w:r>
        <w:rPr>
          <w:color w:val="000000"/>
        </w:rPr>
        <w:t>. Pakeisti 69 straipsnio 3 dalį ir ją išdėstyti taip:</w:t>
      </w:r>
    </w:p>
    <w:p>
      <w:pPr>
        <w:ind w:firstLine="709"/>
        <w:jc w:val="both"/>
        <w:rPr>
          <w:color w:val="000000"/>
        </w:rPr>
      </w:pPr>
      <w:r>
        <w:rPr>
          <w:color w:val="000000"/>
        </w:rPr>
        <w:t>„3. Valstybės tarnautojams, kurių buvęs darbo užmokestis (šio straipsnio 2 dalies 1 punktas) yra mažesnis už šio įstatymo šeštajame skirsnyje nustatytą darbo užmokestį, naujasis darbo užmokesčio dydis pasiekiamas nuosekliai: pereinamuoju laikotarpiu – iki 2007 m. sausio 1 d. kiekvieną mėnesį valstybės tarnautojui priklausantį darbo užmokestį apskaičiuojant pagal formulę:</w:t>
      </w:r>
    </w:p>
    <w:p>
      <w:pPr>
        <w:ind w:firstLine="709"/>
        <w:jc w:val="both"/>
        <w:rPr>
          <w:color w:val="000000"/>
        </w:rPr>
      </w:pPr>
      <w:r>
        <w:rPr>
          <w:color w:val="000000"/>
        </w:rPr>
        <w:t>A = [ (B – C) x D] + C, čia:</w:t>
      </w:r>
    </w:p>
    <w:p>
      <w:pPr>
        <w:ind w:firstLine="709"/>
        <w:jc w:val="both"/>
        <w:rPr>
          <w:color w:val="000000"/>
        </w:rPr>
      </w:pPr>
      <w:r>
        <w:rPr>
          <w:color w:val="000000"/>
        </w:rPr>
        <w:t>A – pereinamuoju laikotarpiu valstybės tarnautojui priklausantis darbo užmokestis;</w:t>
      </w:r>
    </w:p>
    <w:p>
      <w:pPr>
        <w:ind w:firstLine="709"/>
        <w:jc w:val="both"/>
        <w:rPr>
          <w:color w:val="000000"/>
        </w:rPr>
      </w:pPr>
      <w:r>
        <w:rPr>
          <w:color w:val="000000"/>
        </w:rPr>
        <w:t>B – valstybės tarnautojo darbo užmokestis, apskaičiuotas pagal šio įstatymo nuostatas ir dydžius;</w:t>
      </w:r>
    </w:p>
    <w:p>
      <w:pPr>
        <w:ind w:firstLine="709"/>
        <w:jc w:val="both"/>
        <w:rPr>
          <w:color w:val="000000"/>
        </w:rPr>
      </w:pPr>
      <w:r>
        <w:rPr>
          <w:color w:val="000000"/>
        </w:rPr>
        <w:t>C – valstybės tarnautojo buvęs darbo užmokestis (šio straipsnio 2 dalies 1 punktas);</w:t>
      </w:r>
    </w:p>
    <w:p>
      <w:pPr>
        <w:ind w:firstLine="709"/>
        <w:jc w:val="both"/>
        <w:rPr>
          <w:color w:val="000000"/>
        </w:rPr>
      </w:pPr>
      <w:r>
        <w:rPr>
          <w:color w:val="000000"/>
        </w:rPr>
        <w:t>D – valstybės tarnautojo darbo užmokesčio perskaičiavimo koeficientas, nuosekliai didinantis buvusį darbo užmokestį. Nustatomi šie pereinamojo laikotarpio koeficientai:</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407"/>
        <w:gridCol w:w="1878"/>
        <w:gridCol w:w="1282"/>
        <w:gridCol w:w="1292"/>
        <w:gridCol w:w="1192"/>
        <w:gridCol w:w="1192"/>
        <w:gridCol w:w="298"/>
      </w:tblGrid>
      <w:tr>
        <w:trPr>
          <w:cantSplit/>
        </w:trPr>
        <w:tc>
          <w:tcPr>
            <w:tcW w:w="1096" w:type="dxa"/>
          </w:tcPr>
          <w:p>
            <w:pPr>
              <w:jc w:val="both"/>
              <w:rPr>
                <w:color w:val="000000"/>
                <w:sz w:val="20"/>
              </w:rPr>
            </w:pPr>
            <w:r>
              <w:rPr>
                <w:color w:val="000000"/>
                <w:sz w:val="20"/>
              </w:rPr>
              <w:t>Metai</w:t>
            </w:r>
          </w:p>
        </w:tc>
        <w:tc>
          <w:tcPr>
            <w:tcW w:w="1407" w:type="dxa"/>
          </w:tcPr>
          <w:p>
            <w:pPr>
              <w:jc w:val="center"/>
              <w:rPr>
                <w:color w:val="000000"/>
                <w:sz w:val="20"/>
              </w:rPr>
            </w:pPr>
            <w:r>
              <w:rPr>
                <w:color w:val="000000"/>
                <w:sz w:val="20"/>
              </w:rPr>
              <w:t xml:space="preserve">2001 </w:t>
            </w:r>
          </w:p>
        </w:tc>
        <w:tc>
          <w:tcPr>
            <w:tcW w:w="1878" w:type="dxa"/>
          </w:tcPr>
          <w:p>
            <w:pPr>
              <w:jc w:val="center"/>
              <w:rPr>
                <w:color w:val="000000"/>
                <w:sz w:val="20"/>
              </w:rPr>
            </w:pPr>
            <w:r>
              <w:rPr>
                <w:color w:val="000000"/>
                <w:sz w:val="20"/>
              </w:rPr>
              <w:t xml:space="preserve">2002 </w:t>
            </w:r>
          </w:p>
          <w:p>
            <w:pPr>
              <w:ind w:firstLine="50"/>
              <w:rPr>
                <w:b/>
                <w:color w:val="000000"/>
                <w:sz w:val="20"/>
              </w:rPr>
            </w:pPr>
            <w:r>
              <w:rPr>
                <w:color w:val="000000"/>
                <w:sz w:val="20"/>
              </w:rPr>
              <w:t>(II pusmetis)</w:t>
            </w:r>
          </w:p>
        </w:tc>
        <w:tc>
          <w:tcPr>
            <w:tcW w:w="1282" w:type="dxa"/>
          </w:tcPr>
          <w:p>
            <w:pPr>
              <w:jc w:val="center"/>
              <w:rPr>
                <w:b/>
                <w:color w:val="000000"/>
                <w:sz w:val="20"/>
              </w:rPr>
            </w:pPr>
            <w:r>
              <w:rPr>
                <w:color w:val="000000"/>
                <w:sz w:val="20"/>
              </w:rPr>
              <w:t xml:space="preserve">2003 </w:t>
            </w:r>
          </w:p>
        </w:tc>
        <w:tc>
          <w:tcPr>
            <w:tcW w:w="1292" w:type="dxa"/>
          </w:tcPr>
          <w:p>
            <w:pPr>
              <w:jc w:val="center"/>
              <w:rPr>
                <w:b/>
                <w:color w:val="000000"/>
                <w:sz w:val="20"/>
              </w:rPr>
            </w:pPr>
            <w:r>
              <w:rPr>
                <w:color w:val="000000"/>
                <w:sz w:val="20"/>
              </w:rPr>
              <w:t xml:space="preserve">2004 </w:t>
            </w:r>
          </w:p>
        </w:tc>
        <w:tc>
          <w:tcPr>
            <w:tcW w:w="1192" w:type="dxa"/>
          </w:tcPr>
          <w:p>
            <w:pPr>
              <w:jc w:val="center"/>
              <w:rPr>
                <w:b/>
                <w:color w:val="000000"/>
                <w:sz w:val="20"/>
              </w:rPr>
            </w:pPr>
            <w:r>
              <w:rPr>
                <w:color w:val="000000"/>
                <w:sz w:val="20"/>
              </w:rPr>
              <w:t xml:space="preserve">2005 </w:t>
            </w:r>
          </w:p>
        </w:tc>
        <w:tc>
          <w:tcPr>
            <w:tcW w:w="1192" w:type="dxa"/>
          </w:tcPr>
          <w:p>
            <w:pPr>
              <w:jc w:val="center"/>
              <w:rPr>
                <w:b/>
                <w:color w:val="000000"/>
                <w:sz w:val="20"/>
              </w:rPr>
            </w:pPr>
            <w:r>
              <w:rPr>
                <w:color w:val="000000"/>
                <w:sz w:val="20"/>
              </w:rPr>
              <w:t xml:space="preserve">2006 </w:t>
            </w:r>
          </w:p>
        </w:tc>
        <w:tc>
          <w:tcPr>
            <w:tcW w:w="298" w:type="dxa"/>
            <w:tcBorders>
              <w:top w:val="nil"/>
              <w:bottom w:val="nil"/>
              <w:right w:val="nil"/>
            </w:tcBorders>
          </w:tcPr>
          <w:p>
            <w:pPr>
              <w:jc w:val="center"/>
              <w:rPr>
                <w:color w:val="000000"/>
                <w:sz w:val="20"/>
              </w:rPr>
            </w:pPr>
          </w:p>
        </w:tc>
      </w:tr>
      <w:tr>
        <w:trPr>
          <w:cantSplit/>
          <w:trHeight w:val="567"/>
        </w:trPr>
        <w:tc>
          <w:tcPr>
            <w:tcW w:w="1096" w:type="dxa"/>
          </w:tcPr>
          <w:p>
            <w:pPr>
              <w:jc w:val="center"/>
              <w:rPr>
                <w:color w:val="000000"/>
                <w:sz w:val="20"/>
              </w:rPr>
            </w:pPr>
            <w:r>
              <w:rPr>
                <w:color w:val="000000"/>
                <w:sz w:val="20"/>
              </w:rPr>
              <w:t>D</w:t>
            </w:r>
          </w:p>
        </w:tc>
        <w:tc>
          <w:tcPr>
            <w:tcW w:w="1407" w:type="dxa"/>
          </w:tcPr>
          <w:p>
            <w:pPr>
              <w:jc w:val="center"/>
              <w:rPr>
                <w:color w:val="000000"/>
                <w:sz w:val="20"/>
              </w:rPr>
            </w:pPr>
            <w:r>
              <w:rPr>
                <w:color w:val="000000"/>
                <w:sz w:val="20"/>
              </w:rPr>
              <w:t>0</w:t>
            </w:r>
          </w:p>
        </w:tc>
        <w:tc>
          <w:tcPr>
            <w:tcW w:w="1878" w:type="dxa"/>
          </w:tcPr>
          <w:p>
            <w:pPr>
              <w:jc w:val="center"/>
              <w:rPr>
                <w:color w:val="000000"/>
                <w:sz w:val="20"/>
              </w:rPr>
            </w:pPr>
            <w:r>
              <w:rPr>
                <w:color w:val="000000"/>
                <w:sz w:val="20"/>
              </w:rPr>
              <w:t>0,1</w:t>
            </w:r>
          </w:p>
        </w:tc>
        <w:tc>
          <w:tcPr>
            <w:tcW w:w="1282" w:type="dxa"/>
          </w:tcPr>
          <w:p>
            <w:pPr>
              <w:jc w:val="center"/>
              <w:rPr>
                <w:color w:val="000000"/>
                <w:sz w:val="20"/>
              </w:rPr>
            </w:pPr>
            <w:r>
              <w:rPr>
                <w:color w:val="000000"/>
                <w:sz w:val="20"/>
              </w:rPr>
              <w:t>0,3</w:t>
            </w:r>
          </w:p>
        </w:tc>
        <w:tc>
          <w:tcPr>
            <w:tcW w:w="1292" w:type="dxa"/>
          </w:tcPr>
          <w:p>
            <w:pPr>
              <w:jc w:val="center"/>
              <w:rPr>
                <w:color w:val="000000"/>
                <w:sz w:val="20"/>
              </w:rPr>
            </w:pPr>
            <w:r>
              <w:rPr>
                <w:color w:val="000000"/>
                <w:sz w:val="20"/>
              </w:rPr>
              <w:t>0,5</w:t>
            </w:r>
          </w:p>
        </w:tc>
        <w:tc>
          <w:tcPr>
            <w:tcW w:w="1192" w:type="dxa"/>
          </w:tcPr>
          <w:p>
            <w:pPr>
              <w:jc w:val="center"/>
              <w:rPr>
                <w:color w:val="000000"/>
                <w:sz w:val="20"/>
              </w:rPr>
            </w:pPr>
            <w:r>
              <w:rPr>
                <w:color w:val="000000"/>
                <w:sz w:val="20"/>
              </w:rPr>
              <w:t>0,7</w:t>
            </w:r>
          </w:p>
        </w:tc>
        <w:tc>
          <w:tcPr>
            <w:tcW w:w="1192" w:type="dxa"/>
          </w:tcPr>
          <w:p>
            <w:pPr>
              <w:jc w:val="center"/>
              <w:rPr>
                <w:color w:val="000000"/>
                <w:sz w:val="20"/>
              </w:rPr>
            </w:pPr>
            <w:r>
              <w:rPr>
                <w:color w:val="000000"/>
                <w:sz w:val="20"/>
              </w:rPr>
              <w:t>0,9</w:t>
            </w:r>
          </w:p>
        </w:tc>
        <w:tc>
          <w:tcPr>
            <w:tcW w:w="298" w:type="dxa"/>
            <w:tcBorders>
              <w:top w:val="nil"/>
              <w:bottom w:val="nil"/>
              <w:right w:val="nil"/>
            </w:tcBorders>
          </w:tcPr>
          <w:p>
            <w:pPr>
              <w:jc w:val="center"/>
              <w:rPr>
                <w:color w:val="000000"/>
                <w:sz w:val="20"/>
              </w:rPr>
            </w:pPr>
            <w:r>
              <w:rPr>
                <w:color w:val="000000"/>
              </w:rPr>
              <w:t>“</w:t>
            </w:r>
          </w:p>
        </w:tc>
      </w:tr>
    </w:tbl>
    <w:p>
      <w:pPr>
        <w:ind w:firstLine="709"/>
        <w:jc w:val="both"/>
        <w:rPr>
          <w:color w:val="000000"/>
        </w:rPr>
      </w:pPr>
      <w:r>
        <w:rPr>
          <w:color w:val="000000"/>
        </w:rPr>
        <w:t>4</w:t>
      </w:r>
      <w:r>
        <w:rPr>
          <w:color w:val="000000"/>
        </w:rPr>
        <w:t>. 69 straipsnio 4 dalyje vietoj datos „2006 m. sausio 1 d.“ įrašyti datą „2007 m. sausio 1 d.“ ir šią dalį išdėstyti taip:</w:t>
      </w:r>
    </w:p>
    <w:p>
      <w:pPr>
        <w:ind w:firstLine="709"/>
        <w:jc w:val="both"/>
        <w:rPr>
          <w:color w:val="000000"/>
        </w:rPr>
      </w:pPr>
      <w:r>
        <w:rPr>
          <w:color w:val="000000"/>
        </w:rPr>
        <w:t>„4. Šio straipsnio 3 dalies nuostatos turi būti įgyvendintos ne vėliau kaip iki 2007 m. sausio 1 d. Šiuo pereinamuoju laikotarpiu į valstybės tarnautojo pareigas paskirtiems asmenims darbo užmokestis nustatomas ir apskaičiuojamas pagal šio straipsnio 2 ir 3 dalių nuostatas ir nurodytas formules, kuriose dydis C – tai naujai priimto valstybės tarnautojo darbo užmokesčio (tarnybinis atlyginimas (pareiginė alga) kartu su priedais ir priemokomis), apskaičiuoto pagal iki šio straipsnio 1 dalyje nurodytos datos galiojusias darbo apmokėjimo sąlygas, dydis. Jeigu pareigybei teisės aktais buvo nustatyti tarnybinio atlyginimo (pareiginės algos) minimalūs ir maksimalūs dydžiai, įstaigos vadovas, laikydamasis šių dydžių ribų, nustato konkretų tarnybinio atlyginimo (pareiginės algos) dydį, neviršijantį šio įstatymo nustatytos pareiginės algos. Stažuotojams ir asmenims, paskirtiems bandomajam laikotarpiui, mokamas darbo užmokestis, kurį sudaro 70 procentų šios sumos.“</w:t>
      </w:r>
    </w:p>
    <w:p>
      <w:pPr>
        <w:ind w:firstLine="709"/>
      </w:pPr>
    </w:p>
    <w:p>
      <w:pPr>
        <w:ind w:firstLine="709"/>
        <w:rPr>
          <w:b/>
          <w:color w:val="000000"/>
        </w:rPr>
      </w:pPr>
      <w:r>
        <w:rPr>
          <w:b/>
          <w:color w:val="000000"/>
        </w:rPr>
        <w:t>3</w:t>
      </w:r>
      <w:r>
        <w:rPr>
          <w:b/>
          <w:color w:val="000000"/>
        </w:rPr>
        <w:t xml:space="preserve"> straipsnis. </w:t>
      </w:r>
      <w:r>
        <w:rPr>
          <w:b/>
          <w:color w:val="000000"/>
        </w:rPr>
        <w:t>Šio Įstatymo 2 straipsnio 2 dalies taikymas</w:t>
      </w:r>
    </w:p>
    <w:p>
      <w:pPr>
        <w:ind w:firstLine="709"/>
        <w:jc w:val="both"/>
        <w:rPr>
          <w:color w:val="000000"/>
        </w:rPr>
      </w:pPr>
      <w:r>
        <w:rPr>
          <w:color w:val="000000"/>
        </w:rPr>
        <w:t>Šio Įstatymo 2 straipsnio 2 dalies nuostatos taikomos nuo 2001 m. spalio 1 d.</w:t>
      </w:r>
    </w:p>
    <w:p>
      <w:pPr>
        <w:ind w:firstLine="709"/>
      </w:pPr>
    </w:p>
    <w:p>
      <w:pPr>
        <w:ind w:firstLine="709"/>
      </w:pPr>
    </w:p>
    <w:p>
      <w:pPr>
        <w:ind w:firstLine="709"/>
        <w:rPr>
          <w:color w:val="000000"/>
        </w:rPr>
      </w:pPr>
      <w:r>
        <w:rPr>
          <w:i/>
          <w:color w:val="000000"/>
        </w:rPr>
        <w:t xml:space="preserve">Skelbiu šį Lietuvos Respublikos Seimo priimtą įstatymą. </w:t>
      </w:r>
    </w:p>
    <w:p>
      <w:pPr>
        <w:ind w:firstLine="709"/>
      </w:pPr>
    </w:p>
    <w:p>
      <w:pPr>
        <w:tabs>
          <w:tab w:val="right" w:pos="9639"/>
        </w:tabs>
        <w:rPr>
          <w:caps/>
        </w:rPr>
      </w:pPr>
      <w:r>
        <w:rPr>
          <w:caps/>
        </w:rPr>
        <w:t>RESPUBLIKOS PREZIDENTAS</w:t>
        <w:tab/>
        <w:t>VALDAS ADAMKUS</w:t>
      </w:r>
    </w:p>
    <w:p>
      <w:pPr>
        <w:jc w:val="center"/>
      </w:pPr>
      <w:r>
        <w:t>______________</w:t>
      </w:r>
    </w:p>
    <w:p>
      <w:pPr>
        <w:jc w:val="center"/>
      </w:pPr>
    </w:p>
    <w:p>
      <w:pPr>
        <w:ind w:firstLine="709"/>
        <w:rPr>
          <w:color w:val="000000"/>
        </w:rPr>
      </w:pPr>
    </w:p>
    <w:p>
      <w:pPr>
        <w:ind w:firstLine="709"/>
      </w:pPr>
    </w:p>
    <w:p>
      <w:pPr>
        <w:ind w:firstLine="709"/>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3858</Characters>
  <Application>Microsoft Office Word</Application>
  <DocSecurity>4</DocSecurity>
  <Lines>120</Lines>
  <Paragraphs>88</Paragraphs>
  <ScaleCrop>false</ScaleCrop>
  <Company/>
  <LinksUpToDate>false</LinksUpToDate>
  <CharactersWithSpaces>4426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2015-06-30T00:40:00Z</dcterms:created>
  <dc:creator>Tadeuš Buivid</dc:creator>
  <lastModifiedBy>Adlib User</lastModifiedBy>
  <dcterms:modified xsi:type="dcterms:W3CDTF">2015-06-30T00:40:00Z</dcterms:modified>
  <revision>2</revision>
</coreProperties>
</file>