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1069D" w14:textId="77777777" w:rsidR="00E76038" w:rsidRDefault="00E76038">
      <w:pPr>
        <w:tabs>
          <w:tab w:val="center" w:pos="4153"/>
          <w:tab w:val="right" w:pos="8306"/>
        </w:tabs>
        <w:rPr>
          <w:lang w:val="en-GB"/>
        </w:rPr>
      </w:pPr>
    </w:p>
    <w:p w14:paraId="4481069E" w14:textId="77777777" w:rsidR="00E76038" w:rsidRDefault="007F78B5">
      <w:pPr>
        <w:jc w:val="center"/>
        <w:rPr>
          <w:b/>
        </w:rPr>
      </w:pPr>
      <w:r>
        <w:rPr>
          <w:b/>
          <w:lang w:eastAsia="lt-LT"/>
        </w:rPr>
        <w:pict w14:anchorId="448106D4">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4481069F" w14:textId="77777777" w:rsidR="00E76038" w:rsidRDefault="007F78B5">
      <w:pPr>
        <w:jc w:val="center"/>
        <w:rPr>
          <w:b/>
        </w:rPr>
      </w:pPr>
      <w:r>
        <w:rPr>
          <w:b/>
        </w:rPr>
        <w:t>DOKUMENTŲ IR ARCHYVŲ ĮSTATYMO 1, 2, 3, 14, 20 STRAIPSNIŲ PAPILDYMO IR PAKEITIMO BEI ĮSTATYMO PAPILDYMO PRIEDU</w:t>
      </w:r>
    </w:p>
    <w:p w14:paraId="448106A0" w14:textId="77777777" w:rsidR="00E76038" w:rsidRDefault="007F78B5">
      <w:pPr>
        <w:jc w:val="center"/>
        <w:rPr>
          <w:b/>
        </w:rPr>
      </w:pPr>
      <w:r>
        <w:rPr>
          <w:b/>
        </w:rPr>
        <w:t>Į S T A T Y M A S</w:t>
      </w:r>
    </w:p>
    <w:p w14:paraId="448106A1" w14:textId="77777777" w:rsidR="00E76038" w:rsidRDefault="00E76038">
      <w:pPr>
        <w:jc w:val="center"/>
      </w:pPr>
    </w:p>
    <w:p w14:paraId="448106A2" w14:textId="77777777" w:rsidR="00E76038" w:rsidRDefault="007F78B5">
      <w:pPr>
        <w:jc w:val="center"/>
      </w:pPr>
      <w:r>
        <w:t>2006 m. gruodžio 19 d. Nr. X-992</w:t>
      </w:r>
    </w:p>
    <w:p w14:paraId="448106A3" w14:textId="77777777" w:rsidR="00E76038" w:rsidRDefault="007F78B5">
      <w:pPr>
        <w:jc w:val="center"/>
      </w:pPr>
      <w:r>
        <w:t>Vilnius</w:t>
      </w:r>
    </w:p>
    <w:p w14:paraId="448106A4" w14:textId="77777777" w:rsidR="00E76038" w:rsidRDefault="00E76038">
      <w:pPr>
        <w:jc w:val="center"/>
      </w:pPr>
    </w:p>
    <w:p w14:paraId="448106A5" w14:textId="77777777" w:rsidR="00E76038" w:rsidRDefault="007F78B5">
      <w:pPr>
        <w:widowControl w:val="0"/>
        <w:shd w:val="clear" w:color="auto" w:fill="FFFFFF"/>
        <w:jc w:val="center"/>
        <w:rPr>
          <w:color w:val="000000"/>
        </w:rPr>
      </w:pPr>
      <w:r>
        <w:rPr>
          <w:color w:val="000000"/>
        </w:rPr>
        <w:t xml:space="preserve">(Žin., 1995, Nr. </w:t>
      </w:r>
      <w:hyperlink r:id="rId10" w:tgtFrame="_blank" w:history="1">
        <w:r>
          <w:rPr>
            <w:color w:val="0000FF" w:themeColor="hyperlink"/>
            <w:u w:val="single"/>
          </w:rPr>
          <w:t>107-2389</w:t>
        </w:r>
      </w:hyperlink>
      <w:r>
        <w:rPr>
          <w:color w:val="000000"/>
        </w:rPr>
        <w:t>; 2004, Nr. 57-1982)</w:t>
      </w:r>
    </w:p>
    <w:p w14:paraId="448106A6" w14:textId="77777777" w:rsidR="00E76038" w:rsidRDefault="00E76038"/>
    <w:p w14:paraId="448106A7" w14:textId="77777777" w:rsidR="00E76038" w:rsidRDefault="007F78B5">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1 straipsnio papildymas 4 dalimi</w:t>
      </w:r>
    </w:p>
    <w:p w14:paraId="448106A8" w14:textId="77777777" w:rsidR="00E76038" w:rsidRDefault="007F78B5">
      <w:pPr>
        <w:widowControl w:val="0"/>
        <w:shd w:val="clear" w:color="auto" w:fill="FFFFFF"/>
        <w:ind w:firstLine="708"/>
        <w:jc w:val="both"/>
        <w:rPr>
          <w:color w:val="000000"/>
        </w:rPr>
      </w:pPr>
      <w:r>
        <w:rPr>
          <w:color w:val="000000"/>
        </w:rPr>
        <w:t>Papildyti 1 straipsnį 4 dalimi:</w:t>
      </w:r>
    </w:p>
    <w:p w14:paraId="448106A9" w14:textId="77777777" w:rsidR="00E76038" w:rsidRDefault="007F78B5">
      <w:pPr>
        <w:widowControl w:val="0"/>
        <w:shd w:val="clear" w:color="auto" w:fill="FFFFFF"/>
        <w:ind w:firstLine="708"/>
        <w:jc w:val="both"/>
        <w:rPr>
          <w:color w:val="000000"/>
        </w:rPr>
      </w:pPr>
      <w:r>
        <w:rPr>
          <w:color w:val="000000"/>
        </w:rPr>
        <w:t>„</w:t>
      </w:r>
      <w:r>
        <w:rPr>
          <w:color w:val="000000"/>
        </w:rPr>
        <w:t>4</w:t>
      </w:r>
      <w:r>
        <w:rPr>
          <w:color w:val="000000"/>
        </w:rPr>
        <w:t>. Šis Įstatymas užtikrina Europos Sąjungos teisės aktų, nurodytų šio Įst</w:t>
      </w:r>
      <w:r>
        <w:rPr>
          <w:color w:val="000000"/>
        </w:rPr>
        <w:t>atymo priede, taikymą asmenų apsaugos tvarkant asmens duomenis reglamentavimo srityje.“</w:t>
      </w:r>
    </w:p>
    <w:p w14:paraId="448106AA" w14:textId="77777777" w:rsidR="00E76038" w:rsidRDefault="007F78B5"/>
    <w:p w14:paraId="448106AB" w14:textId="77777777" w:rsidR="00E76038" w:rsidRDefault="007F78B5">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2 straipsnio papildymas 1 dalimi</w:t>
      </w:r>
    </w:p>
    <w:p w14:paraId="448106AC" w14:textId="77777777" w:rsidR="00E76038" w:rsidRDefault="007F78B5">
      <w:pPr>
        <w:widowControl w:val="0"/>
        <w:shd w:val="clear" w:color="auto" w:fill="FFFFFF"/>
        <w:ind w:firstLine="708"/>
        <w:jc w:val="both"/>
        <w:rPr>
          <w:color w:val="000000"/>
        </w:rPr>
      </w:pPr>
      <w:r>
        <w:rPr>
          <w:color w:val="000000"/>
        </w:rPr>
        <w:t>1</w:t>
      </w:r>
      <w:r>
        <w:rPr>
          <w:color w:val="000000"/>
        </w:rPr>
        <w:t>. Papildyti 2 straipsnį nauja 1 dalimi:</w:t>
      </w:r>
    </w:p>
    <w:p w14:paraId="448106AD" w14:textId="77777777" w:rsidR="00E76038" w:rsidRDefault="007F78B5">
      <w:pPr>
        <w:widowControl w:val="0"/>
        <w:shd w:val="clear" w:color="auto" w:fill="FFFFFF"/>
        <w:ind w:firstLine="708"/>
        <w:jc w:val="both"/>
        <w:rPr>
          <w:color w:val="000000"/>
        </w:rPr>
      </w:pPr>
      <w:r>
        <w:rPr>
          <w:color w:val="000000"/>
        </w:rPr>
        <w:t>„</w:t>
      </w:r>
      <w:r>
        <w:rPr>
          <w:color w:val="000000"/>
        </w:rPr>
        <w:t>1</w:t>
      </w:r>
      <w:r>
        <w:rPr>
          <w:color w:val="000000"/>
        </w:rPr>
        <w:t xml:space="preserve">. </w:t>
      </w:r>
      <w:r>
        <w:rPr>
          <w:b/>
          <w:bCs/>
          <w:color w:val="000000"/>
        </w:rPr>
        <w:t xml:space="preserve">Agentūrinė operatyvinė informacija – </w:t>
      </w:r>
      <w:r>
        <w:rPr>
          <w:color w:val="000000"/>
        </w:rPr>
        <w:t>asmenų, slapta bendrad</w:t>
      </w:r>
      <w:r>
        <w:rPr>
          <w:color w:val="000000"/>
        </w:rPr>
        <w:t>arbiavusių su buvusios SSRS specialiosiomis tarnybomis, duomenys, taip pat duomenys apie šių asmenų verbavimą ir naudojimą, jų surinkti duomenys ir kiti duomenys apie asmenis, gauti taikant operatyvinės veiklos priemones ir metodus.“</w:t>
      </w:r>
    </w:p>
    <w:p w14:paraId="448106AE" w14:textId="77777777" w:rsidR="00E76038" w:rsidRDefault="007F78B5">
      <w:pPr>
        <w:widowControl w:val="0"/>
        <w:shd w:val="clear" w:color="auto" w:fill="FFFFFF"/>
        <w:ind w:firstLine="708"/>
        <w:jc w:val="both"/>
        <w:rPr>
          <w:color w:val="000000"/>
        </w:rPr>
      </w:pPr>
      <w:r>
        <w:rPr>
          <w:color w:val="000000"/>
        </w:rPr>
        <w:t>2</w:t>
      </w:r>
      <w:r>
        <w:rPr>
          <w:color w:val="000000"/>
        </w:rPr>
        <w:t xml:space="preserve">. Buvusias 2 </w:t>
      </w:r>
      <w:r>
        <w:rPr>
          <w:color w:val="000000"/>
        </w:rPr>
        <w:t>straipsnio 1, 2, 3, 4, 5, 6, 7, 8, 9, 10, 11, 12, 13, 14, 15, 16, 17 dalis laikyti atitinkamai 2, 3, 4, 5, 6, 7, 8, 9, 10, 11, 12, 13, 14, 15, 16, 17, 18 dalimis.</w:t>
      </w:r>
    </w:p>
    <w:p w14:paraId="448106AF" w14:textId="77777777" w:rsidR="00E76038" w:rsidRDefault="007F78B5">
      <w:pPr>
        <w:ind w:firstLine="708"/>
      </w:pPr>
    </w:p>
    <w:p w14:paraId="448106B0" w14:textId="77777777" w:rsidR="00E76038" w:rsidRDefault="007F78B5">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3 straipsnio 3 dalies pakeitimas</w:t>
      </w:r>
    </w:p>
    <w:p w14:paraId="448106B1" w14:textId="77777777" w:rsidR="00E76038" w:rsidRDefault="007F78B5">
      <w:pPr>
        <w:widowControl w:val="0"/>
        <w:shd w:val="clear" w:color="auto" w:fill="FFFFFF"/>
        <w:ind w:firstLine="708"/>
        <w:jc w:val="both"/>
        <w:rPr>
          <w:color w:val="000000"/>
        </w:rPr>
      </w:pPr>
      <w:r>
        <w:rPr>
          <w:color w:val="000000"/>
        </w:rPr>
        <w:t>Pakeisti 3 straipsnio 3 dalį ir ją iš</w:t>
      </w:r>
      <w:r>
        <w:rPr>
          <w:color w:val="000000"/>
        </w:rPr>
        <w:t>dėstyti taip:</w:t>
      </w:r>
    </w:p>
    <w:p w14:paraId="448106B2" w14:textId="77777777" w:rsidR="00E76038" w:rsidRDefault="007F78B5">
      <w:pPr>
        <w:widowControl w:val="0"/>
        <w:shd w:val="clear" w:color="auto" w:fill="FFFFFF"/>
        <w:ind w:firstLine="708"/>
        <w:jc w:val="both"/>
        <w:rPr>
          <w:color w:val="000000"/>
        </w:rPr>
      </w:pPr>
      <w:r>
        <w:rPr>
          <w:color w:val="000000"/>
        </w:rPr>
        <w:t>„</w:t>
      </w:r>
      <w:r>
        <w:rPr>
          <w:color w:val="000000"/>
        </w:rPr>
        <w:t>3</w:t>
      </w:r>
      <w:r>
        <w:rPr>
          <w:color w:val="000000"/>
        </w:rPr>
        <w:t xml:space="preserve">. Nacionalinio dokumentų fondo ypatingąją dalį sudaro pasipriešinimo (rezistencijos) SSRS ir Vokietijos okupaciniams režimams struktūrų, taip pat Lietuvos SSR vidaus reikalų liaudies komisariato (nuo 1940 m. iki 1941 m., nuo 1944 m. iki </w:t>
      </w:r>
      <w:r>
        <w:rPr>
          <w:color w:val="000000"/>
        </w:rPr>
        <w:t>1946 m.), Lietuvos SSR valstybės saugumo liaudies komisariato (1941 m., nuo 1944 m. iki 1946 m.), Lietuvos SSR valstybės saugumo ministerijos (nuo 1946 m. iki 1953 m.), Lietuvos SSR vidaus reikalų ministerijos (nuo 1946 m. iki 1954 m.), Lietuvos SSR valsty</w:t>
      </w:r>
      <w:r>
        <w:rPr>
          <w:color w:val="000000"/>
        </w:rPr>
        <w:t xml:space="preserve">bės saugumo komiteto (nuo 1954 m. iki 1991 m.), SSRS valstybės saugumo liaudies komisariato (NKGB), SSRS valstybės saugumo ministerijos (MGB), SSRS valstybės saugumo komiteto (KGB) padalinių, veikusių Lietuvoje nuo 1940 m. iki 1991 m., SSRS vidaus reikalų </w:t>
      </w:r>
      <w:r>
        <w:rPr>
          <w:color w:val="000000"/>
        </w:rPr>
        <w:t>liaudies komisariato (NKVD), SSRS vidaus reikalų ministerijos (MVD) padalinių, veikusių Lietuvoje nuo 1946 m. iki 1954 m., SSRS liaudies gynybos komisariato (NKO), Karinio jūrų laivyno liaudies komisariato (NKVMF) padalinių, veikusių Lietuvoje 1941 m., nuo</w:t>
      </w:r>
      <w:r>
        <w:rPr>
          <w:color w:val="000000"/>
        </w:rPr>
        <w:t xml:space="preserve"> 1943 m. iki 1946 m., Vyriausiosios žvalgybos valdybos prie Sovietų armijos generalinio štabo (GRU) padalinių, veikusių Lietuvoje nuo 1940 m. iki 1991 m., Lietuvos komunistų partijos ir šioms organizacijoms, tarnyboms pavaldžių struktūrų veiklos dokumentai</w:t>
      </w:r>
      <w:r>
        <w:rPr>
          <w:color w:val="000000"/>
        </w:rPr>
        <w:t xml:space="preserve">. Nacionalinio dokumentų fondo ypatingosios dalies dokumentai, išskyrus Lietuvos SSR veikusių valstybės įstaigų, įmonių ir organizacijų buvusių slaptųjų (pirmųjų) skyrių dokumentus, turi būti perduoti šio Įstatymo 4 straipsnio 2 dalies nustatyta tvarka ir </w:t>
      </w:r>
      <w:r>
        <w:rPr>
          <w:color w:val="000000"/>
        </w:rPr>
        <w:t>saugomi Lietuvos ypatingajame archyve. Lietuvos SSR veikusių valstybės įstaigų, įmonių ir organizacijų buvusių slaptųjų (pirmųjų) skyrių dokumentai saugomi kituose valstybės archyvuose.“</w:t>
      </w:r>
    </w:p>
    <w:p w14:paraId="448106B3" w14:textId="77777777" w:rsidR="00E76038" w:rsidRDefault="007F78B5"/>
    <w:p w14:paraId="448106B4" w14:textId="77777777" w:rsidR="00E76038" w:rsidRDefault="007F78B5">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14 straipsnio 1 dalies pakeitimas ir straips</w:t>
      </w:r>
      <w:r>
        <w:rPr>
          <w:b/>
          <w:bCs/>
          <w:color w:val="000000"/>
        </w:rPr>
        <w:t>nio papildymas 4 dalimi</w:t>
      </w:r>
    </w:p>
    <w:p w14:paraId="448106B5" w14:textId="77777777" w:rsidR="00E76038" w:rsidRDefault="007F78B5">
      <w:pPr>
        <w:widowControl w:val="0"/>
        <w:shd w:val="clear" w:color="auto" w:fill="FFFFFF"/>
        <w:ind w:firstLine="708"/>
        <w:jc w:val="both"/>
        <w:rPr>
          <w:color w:val="000000"/>
        </w:rPr>
      </w:pPr>
      <w:r>
        <w:rPr>
          <w:color w:val="000000"/>
        </w:rPr>
        <w:t>1</w:t>
      </w:r>
      <w:r>
        <w:rPr>
          <w:color w:val="000000"/>
        </w:rPr>
        <w:t>. 14 straipsnio 1 dalyje vietoj žodžių „Lietuvos archyvų departamento“ įrašyti žodžius „Lietuvos Respublikos Vyriausybės“ ir šią dalį išdėstyti taip:</w:t>
      </w:r>
    </w:p>
    <w:p w14:paraId="448106B6" w14:textId="77777777" w:rsidR="00E76038" w:rsidRDefault="007F78B5">
      <w:pPr>
        <w:widowControl w:val="0"/>
        <w:shd w:val="clear" w:color="auto" w:fill="FFFFFF"/>
        <w:ind w:firstLine="708"/>
        <w:jc w:val="both"/>
        <w:rPr>
          <w:color w:val="000000"/>
        </w:rPr>
      </w:pPr>
      <w:r>
        <w:rPr>
          <w:color w:val="000000"/>
        </w:rPr>
        <w:t>„</w:t>
      </w:r>
      <w:r>
        <w:rPr>
          <w:color w:val="000000"/>
        </w:rPr>
        <w:t>1</w:t>
      </w:r>
      <w:r>
        <w:rPr>
          <w:color w:val="000000"/>
        </w:rPr>
        <w:t>. Dokumentus galima naikinti atlikus jų vertės ekspertizę, kai pasibaigia</w:t>
      </w:r>
      <w:r>
        <w:rPr>
          <w:color w:val="000000"/>
        </w:rPr>
        <w:t xml:space="preserve"> teisės norminių aktų nustatyti dokumentų saugojimo terminai. Sprendimą dėl valstybės ar savivaldybės institucijos, </w:t>
      </w:r>
      <w:r>
        <w:rPr>
          <w:color w:val="000000"/>
        </w:rPr>
        <w:lastRenderedPageBreak/>
        <w:t>įstaigos ar įmonės, nevalstybinės organizacijos, privataus juridinio asmens veiklos dokumentų naikinimo ar jų saugojimo terminų pratęsimo pr</w:t>
      </w:r>
      <w:r>
        <w:rPr>
          <w:color w:val="000000"/>
        </w:rPr>
        <w:t>iima vadovas pagal Lietuvos Respublikos Vyriausybės nustatytus dokumentų rengimo, tvarkymo ir apskaitos bendruosius reikalavimus.“</w:t>
      </w:r>
    </w:p>
    <w:p w14:paraId="448106B7" w14:textId="77777777" w:rsidR="00E76038" w:rsidRDefault="007F78B5">
      <w:pPr>
        <w:widowControl w:val="0"/>
        <w:shd w:val="clear" w:color="auto" w:fill="FFFFFF"/>
        <w:ind w:firstLine="708"/>
        <w:jc w:val="both"/>
        <w:rPr>
          <w:color w:val="000000"/>
        </w:rPr>
      </w:pPr>
      <w:r>
        <w:rPr>
          <w:color w:val="000000"/>
        </w:rPr>
        <w:t>2</w:t>
      </w:r>
      <w:r>
        <w:rPr>
          <w:color w:val="000000"/>
        </w:rPr>
        <w:t>. Papildyti 14 straipsnį 4 dalimi:</w:t>
      </w:r>
    </w:p>
    <w:p w14:paraId="448106B8" w14:textId="77777777" w:rsidR="00E76038" w:rsidRDefault="007F78B5">
      <w:pPr>
        <w:widowControl w:val="0"/>
        <w:shd w:val="clear" w:color="auto" w:fill="FFFFFF"/>
        <w:ind w:firstLine="708"/>
        <w:jc w:val="both"/>
        <w:rPr>
          <w:color w:val="000000"/>
        </w:rPr>
      </w:pPr>
      <w:r>
        <w:rPr>
          <w:color w:val="000000"/>
        </w:rPr>
        <w:t>„</w:t>
      </w:r>
      <w:r>
        <w:rPr>
          <w:color w:val="000000"/>
        </w:rPr>
        <w:t>4</w:t>
      </w:r>
      <w:r>
        <w:rPr>
          <w:color w:val="000000"/>
        </w:rPr>
        <w:t>. Negali būti naikinami Nacionalinio dokumentų fondo ypatingajai daliai prikl</w:t>
      </w:r>
      <w:r>
        <w:rPr>
          <w:color w:val="000000"/>
        </w:rPr>
        <w:t>ausantys šio Įstatymo 3 straipsnio 3 dalyje išvardytų struktūrų veiklos dokumentai.“</w:t>
      </w:r>
    </w:p>
    <w:p w14:paraId="448106B9" w14:textId="77777777" w:rsidR="00E76038" w:rsidRDefault="007F78B5"/>
    <w:p w14:paraId="448106BA" w14:textId="77777777" w:rsidR="00E76038" w:rsidRDefault="007F78B5">
      <w:pPr>
        <w:widowControl w:val="0"/>
        <w:shd w:val="clear" w:color="auto" w:fill="FFFFFF"/>
        <w:ind w:firstLine="708"/>
        <w:jc w:val="both"/>
        <w:rPr>
          <w:color w:val="000000"/>
        </w:rPr>
      </w:pPr>
      <w:r>
        <w:rPr>
          <w:b/>
          <w:bCs/>
          <w:color w:val="000000"/>
        </w:rPr>
        <w:t>5</w:t>
      </w:r>
      <w:r>
        <w:rPr>
          <w:b/>
          <w:bCs/>
          <w:color w:val="000000"/>
        </w:rPr>
        <w:t xml:space="preserve"> straipsnis. </w:t>
      </w:r>
      <w:r>
        <w:rPr>
          <w:b/>
          <w:bCs/>
          <w:color w:val="000000"/>
        </w:rPr>
        <w:t>20 straipsnio 3 ir 5 dalių pakeitimas</w:t>
      </w:r>
    </w:p>
    <w:p w14:paraId="448106BB" w14:textId="77777777" w:rsidR="00E76038" w:rsidRDefault="007F78B5">
      <w:pPr>
        <w:widowControl w:val="0"/>
        <w:shd w:val="clear" w:color="auto" w:fill="FFFFFF"/>
        <w:ind w:firstLine="708"/>
        <w:jc w:val="both"/>
        <w:rPr>
          <w:color w:val="000000"/>
        </w:rPr>
      </w:pPr>
      <w:r>
        <w:rPr>
          <w:color w:val="000000"/>
        </w:rPr>
        <w:t>1</w:t>
      </w:r>
      <w:r>
        <w:rPr>
          <w:color w:val="000000"/>
        </w:rPr>
        <w:t>. Pakeisti 20 straipsnio 3 dalį ir ją išdėstyti taip:</w:t>
      </w:r>
    </w:p>
    <w:p w14:paraId="448106BC" w14:textId="77777777" w:rsidR="00E76038" w:rsidRDefault="007F78B5">
      <w:pPr>
        <w:widowControl w:val="0"/>
        <w:shd w:val="clear" w:color="auto" w:fill="FFFFFF"/>
        <w:ind w:firstLine="708"/>
        <w:jc w:val="both"/>
        <w:rPr>
          <w:color w:val="000000"/>
        </w:rPr>
      </w:pPr>
      <w:r>
        <w:rPr>
          <w:color w:val="000000"/>
        </w:rPr>
        <w:t>„</w:t>
      </w:r>
      <w:r>
        <w:rPr>
          <w:color w:val="000000"/>
        </w:rPr>
        <w:t>3</w:t>
      </w:r>
      <w:r>
        <w:rPr>
          <w:color w:val="000000"/>
        </w:rPr>
        <w:t>. Priėjimas prie Nacionalinio dokumentų fondo</w:t>
      </w:r>
      <w:r>
        <w:rPr>
          <w:color w:val="000000"/>
        </w:rPr>
        <w:t xml:space="preserve"> ypatingosios dalies dokumentų, išvardytų šio Įstatymo 3 straipsnio 3 dalyje, yra neribojamas. Priėjimas prie Nacionalinio dokumentų fondo ypatingosios dalies dokumentų reglamentuojamas šio Įstatymo 19 straipsnio 2 ir 3 dalyse nustatyta tvarka. Priėjimas p</w:t>
      </w:r>
      <w:r>
        <w:rPr>
          <w:color w:val="000000"/>
        </w:rPr>
        <w:t>rie dokumentų, kuriuose yra informacijos, susijusios su asmenimis, prisipažinusiais slapta bendradarbiavus su SSRS specialiosiomis tarnybomis ir įrašytais į prisipažinusių asmenų įskaitą, taip pat atvejais, kai nuo SSRS specialiųjų tarnybų nukentėjęs asmuo</w:t>
      </w:r>
      <w:r>
        <w:rPr>
          <w:color w:val="000000"/>
        </w:rPr>
        <w:t xml:space="preserve"> pareiškia savo valią dėl informacijos apie jį naudojimo ribojimo iki jo mirties, yra ribojamas. Priėjimo prie ribojamų dokumentų ir jų naudojimo tvarką, taip pat tvarką, pagal kurią nuo SSRS specialiųjų tarnybų nukentėjęs asmuo pareiškia valią dėl informa</w:t>
      </w:r>
      <w:r>
        <w:rPr>
          <w:color w:val="000000"/>
        </w:rPr>
        <w:t>cijos apie jį naudojimo ribojimo, vadovaudamasi šiuo ir kitais įstatymais, nustato Lietuvos Respublikos Vyriausybė.“</w:t>
      </w:r>
    </w:p>
    <w:p w14:paraId="448106BD" w14:textId="77777777" w:rsidR="00E76038" w:rsidRDefault="007F78B5">
      <w:pPr>
        <w:widowControl w:val="0"/>
        <w:shd w:val="clear" w:color="auto" w:fill="FFFFFF"/>
        <w:ind w:firstLine="708"/>
        <w:jc w:val="both"/>
        <w:rPr>
          <w:color w:val="000000"/>
        </w:rPr>
      </w:pPr>
      <w:r>
        <w:rPr>
          <w:color w:val="000000"/>
        </w:rPr>
        <w:t>2</w:t>
      </w:r>
      <w:r>
        <w:rPr>
          <w:color w:val="000000"/>
        </w:rPr>
        <w:t>. Pakeisti 20 straipsnio 5 dalį ir ją išdėstyti taip:</w:t>
      </w:r>
    </w:p>
    <w:bookmarkStart w:id="0" w:name="_GoBack" w:displacedByCustomXml="prev"/>
    <w:p w14:paraId="448106BE" w14:textId="77777777" w:rsidR="00E76038" w:rsidRDefault="007F78B5">
      <w:pPr>
        <w:widowControl w:val="0"/>
        <w:shd w:val="clear" w:color="auto" w:fill="FFFFFF"/>
        <w:ind w:firstLine="708"/>
        <w:jc w:val="both"/>
        <w:rPr>
          <w:color w:val="000000"/>
        </w:rPr>
      </w:pPr>
      <w:r>
        <w:rPr>
          <w:color w:val="000000"/>
        </w:rPr>
        <w:t>„</w:t>
      </w:r>
      <w:r>
        <w:rPr>
          <w:color w:val="000000"/>
        </w:rPr>
        <w:t>5</w:t>
      </w:r>
      <w:r>
        <w:rPr>
          <w:color w:val="000000"/>
        </w:rPr>
        <w:t>. Priėjimas prie Nacionalinio dokumentų fondo dokumentų, kuriuose yra in</w:t>
      </w:r>
      <w:r>
        <w:rPr>
          <w:color w:val="000000"/>
        </w:rPr>
        <w:t>formacijos apie asmens privatų gyvenimą, taip pat prie susistemintų asmens duomenų rinkmenų ribojamas 30 metų po to asmens mirties, o jei asmens mirties data nenustatyta, – 100 metų nuo to asmens gimimo. Jeigu nenustatyta nei asmens gimimo, nei mirties dat</w:t>
      </w:r>
      <w:r>
        <w:rPr>
          <w:color w:val="000000"/>
        </w:rPr>
        <w:t>a, šis priėjimas ribojamas 70 metų nuo dokumentų sudarymo, išskyrus atvejus, kai taikomi šio straipsnio 3 dalyje nustatyti terminai.“</w:t>
      </w:r>
    </w:p>
    <w:p w14:paraId="448106BF" w14:textId="77777777" w:rsidR="00E76038" w:rsidRDefault="007F78B5">
      <w:pPr>
        <w:widowControl w:val="0"/>
        <w:shd w:val="clear" w:color="auto" w:fill="FFFFFF"/>
        <w:ind w:firstLine="708"/>
        <w:jc w:val="both"/>
        <w:rPr>
          <w:color w:val="000000"/>
        </w:rPr>
      </w:pPr>
    </w:p>
    <w:bookmarkEnd w:id="0" w:displacedByCustomXml="next"/>
    <w:p w14:paraId="448106C0" w14:textId="77777777" w:rsidR="00E76038" w:rsidRDefault="007F78B5">
      <w:pPr>
        <w:widowControl w:val="0"/>
        <w:shd w:val="clear" w:color="auto" w:fill="FFFFFF"/>
        <w:ind w:firstLine="708"/>
        <w:jc w:val="both"/>
        <w:rPr>
          <w:color w:val="000000"/>
        </w:rPr>
      </w:pPr>
      <w:r>
        <w:rPr>
          <w:b/>
          <w:bCs/>
          <w:color w:val="000000"/>
        </w:rPr>
        <w:t>6</w:t>
      </w:r>
      <w:r>
        <w:rPr>
          <w:b/>
          <w:bCs/>
          <w:color w:val="000000"/>
        </w:rPr>
        <w:t xml:space="preserve"> straipsnis. </w:t>
      </w:r>
      <w:r>
        <w:rPr>
          <w:b/>
          <w:bCs/>
          <w:color w:val="000000"/>
        </w:rPr>
        <w:t>Pasiūlymas Vyriausybei</w:t>
      </w:r>
    </w:p>
    <w:p w14:paraId="448106C1" w14:textId="77777777" w:rsidR="00E76038" w:rsidRDefault="007F78B5">
      <w:pPr>
        <w:widowControl w:val="0"/>
        <w:shd w:val="clear" w:color="auto" w:fill="FFFFFF"/>
        <w:ind w:firstLine="708"/>
        <w:jc w:val="both"/>
        <w:rPr>
          <w:color w:val="000000"/>
        </w:rPr>
      </w:pPr>
      <w:r>
        <w:rPr>
          <w:color w:val="000000"/>
        </w:rPr>
        <w:t>Vyriausybė ar jos įgaliota institucija iki 2007 m. kovo 1 d. parengia ši</w:t>
      </w:r>
      <w:r>
        <w:rPr>
          <w:color w:val="000000"/>
        </w:rPr>
        <w:t>am įstatymui įgyvendinti reikalingus teisės aktus.</w:t>
      </w:r>
    </w:p>
    <w:p w14:paraId="448106C2" w14:textId="77777777" w:rsidR="00E76038" w:rsidRDefault="007F78B5"/>
    <w:p w14:paraId="448106C3" w14:textId="77777777" w:rsidR="00E76038" w:rsidRDefault="007F78B5">
      <w:pPr>
        <w:widowControl w:val="0"/>
        <w:shd w:val="clear" w:color="auto" w:fill="FFFFFF"/>
        <w:ind w:firstLine="708"/>
        <w:jc w:val="both"/>
        <w:rPr>
          <w:color w:val="000000"/>
        </w:rPr>
      </w:pPr>
      <w:r>
        <w:rPr>
          <w:b/>
          <w:bCs/>
          <w:color w:val="000000"/>
        </w:rPr>
        <w:t>7</w:t>
      </w:r>
      <w:r>
        <w:rPr>
          <w:b/>
          <w:bCs/>
          <w:color w:val="000000"/>
        </w:rPr>
        <w:t xml:space="preserve"> straipsnis. </w:t>
      </w:r>
      <w:r>
        <w:rPr>
          <w:b/>
          <w:bCs/>
          <w:color w:val="000000"/>
        </w:rPr>
        <w:t>Įstatymo papildymas priedu</w:t>
      </w:r>
    </w:p>
    <w:p w14:paraId="448106C4" w14:textId="77777777" w:rsidR="00E76038" w:rsidRDefault="007F78B5">
      <w:pPr>
        <w:widowControl w:val="0"/>
        <w:shd w:val="clear" w:color="auto" w:fill="FFFFFF"/>
        <w:ind w:firstLine="708"/>
        <w:jc w:val="both"/>
        <w:rPr>
          <w:color w:val="000000"/>
        </w:rPr>
      </w:pPr>
      <w:r>
        <w:rPr>
          <w:color w:val="000000"/>
        </w:rPr>
        <w:t>Papildyti Įstatymą priedu:</w:t>
      </w:r>
    </w:p>
    <w:p w14:paraId="448106C5" w14:textId="77777777" w:rsidR="00E76038" w:rsidRDefault="00E76038"/>
    <w:p w14:paraId="448106C6" w14:textId="77777777" w:rsidR="00E76038" w:rsidRDefault="007F78B5">
      <w:pPr>
        <w:ind w:firstLine="5103"/>
      </w:pPr>
      <w:r>
        <w:t>„Lietuvos Respublikos</w:t>
      </w:r>
    </w:p>
    <w:p w14:paraId="448106C7" w14:textId="77777777" w:rsidR="00E76038" w:rsidRDefault="007F78B5">
      <w:pPr>
        <w:ind w:firstLine="5103"/>
      </w:pPr>
      <w:r>
        <w:t>dokumentų ir archyvų įstatymo</w:t>
      </w:r>
    </w:p>
    <w:p w14:paraId="448106C8" w14:textId="77777777" w:rsidR="00E76038" w:rsidRDefault="007F78B5">
      <w:pPr>
        <w:ind w:firstLine="5103"/>
      </w:pPr>
      <w:r>
        <w:t>priedas</w:t>
      </w:r>
    </w:p>
    <w:p w14:paraId="448106C9" w14:textId="77777777" w:rsidR="00E76038" w:rsidRDefault="00E76038"/>
    <w:p w14:paraId="448106CA" w14:textId="77777777" w:rsidR="00E76038" w:rsidRDefault="007F78B5">
      <w:pPr>
        <w:widowControl w:val="0"/>
        <w:shd w:val="clear" w:color="auto" w:fill="FFFFFF"/>
        <w:jc w:val="center"/>
        <w:rPr>
          <w:color w:val="000000"/>
        </w:rPr>
      </w:pPr>
      <w:r>
        <w:rPr>
          <w:b/>
          <w:bCs/>
          <w:color w:val="000000"/>
        </w:rPr>
        <w:t>ĮGYVENDINAMI EUROPOS SĄJUNGOS TEISĖS AKTAI</w:t>
      </w:r>
    </w:p>
    <w:p w14:paraId="448106CB" w14:textId="77777777" w:rsidR="00E76038" w:rsidRDefault="00E76038"/>
    <w:p w14:paraId="448106CC" w14:textId="77777777" w:rsidR="00E76038" w:rsidRDefault="007F78B5">
      <w:pPr>
        <w:widowControl w:val="0"/>
        <w:shd w:val="clear" w:color="auto" w:fill="FFFFFF"/>
        <w:ind w:firstLine="708"/>
        <w:jc w:val="both"/>
        <w:rPr>
          <w:color w:val="000000"/>
        </w:rPr>
      </w:pPr>
      <w:r>
        <w:rPr>
          <w:color w:val="000000"/>
        </w:rPr>
        <w:t>1995 m. spalio 24 d.</w:t>
      </w:r>
      <w:r>
        <w:rPr>
          <w:color w:val="000000"/>
        </w:rPr>
        <w:t xml:space="preserve"> Europos Parlamento ir Tarybos direktyva 95/46/EB dėl asmenų apsaugos tvarkant asmens duomenis ir dėl laisvo tokių duomenų judėjimo (OL 1995 m. ES skyrius, 13 tomas 015, p. 355).“</w:t>
      </w:r>
    </w:p>
    <w:p w14:paraId="448106CD" w14:textId="77777777" w:rsidR="00E76038" w:rsidRDefault="00E76038">
      <w:pPr>
        <w:ind w:firstLine="708"/>
      </w:pPr>
    </w:p>
    <w:p w14:paraId="448106CE" w14:textId="77777777" w:rsidR="00E76038" w:rsidRDefault="007F78B5">
      <w:pPr>
        <w:ind w:firstLine="708"/>
      </w:pPr>
    </w:p>
    <w:p w14:paraId="448106CF" w14:textId="77777777" w:rsidR="00E76038" w:rsidRDefault="007F78B5">
      <w:pPr>
        <w:widowControl w:val="0"/>
        <w:shd w:val="clear" w:color="auto" w:fill="FFFFFF"/>
        <w:ind w:firstLine="708"/>
        <w:jc w:val="both"/>
        <w:rPr>
          <w:iCs/>
          <w:color w:val="000000"/>
        </w:rPr>
      </w:pPr>
      <w:r>
        <w:rPr>
          <w:i/>
          <w:iCs/>
          <w:color w:val="000000"/>
        </w:rPr>
        <w:t>Skelbiu šį Lietuvos Respublikos Seimo priimtą įstatymą.</w:t>
      </w:r>
    </w:p>
    <w:p w14:paraId="448106D0" w14:textId="77777777" w:rsidR="00E76038" w:rsidRDefault="00E76038"/>
    <w:p w14:paraId="7F2BC252" w14:textId="77777777" w:rsidR="007F78B5" w:rsidRDefault="007F78B5"/>
    <w:p w14:paraId="4CCABBC0" w14:textId="77777777" w:rsidR="007F78B5" w:rsidRDefault="007F78B5"/>
    <w:p w14:paraId="448106D1" w14:textId="77777777" w:rsidR="00E76038" w:rsidRDefault="007F78B5">
      <w:pPr>
        <w:tabs>
          <w:tab w:val="right" w:pos="9639"/>
        </w:tabs>
      </w:pPr>
      <w:r>
        <w:t>RESPUBLIKOS PREZIDENTAS</w:t>
      </w:r>
      <w:r>
        <w:tab/>
        <w:t>VALDAS ADAMKUS</w:t>
      </w:r>
    </w:p>
    <w:p w14:paraId="448106D3" w14:textId="77777777" w:rsidR="00E76038" w:rsidRDefault="007F78B5">
      <w:pPr>
        <w:tabs>
          <w:tab w:val="right" w:pos="9639"/>
        </w:tabs>
        <w:jc w:val="center"/>
      </w:pPr>
    </w:p>
    <w:sectPr w:rsidR="00E76038">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106D7" w14:textId="77777777" w:rsidR="00E76038" w:rsidRDefault="007F78B5">
      <w:r>
        <w:separator/>
      </w:r>
    </w:p>
  </w:endnote>
  <w:endnote w:type="continuationSeparator" w:id="0">
    <w:p w14:paraId="448106D8" w14:textId="77777777" w:rsidR="00E76038" w:rsidRDefault="007F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06DD" w14:textId="77777777" w:rsidR="00E76038" w:rsidRDefault="00E7603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06DE" w14:textId="77777777" w:rsidR="00E76038" w:rsidRDefault="00E7603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06E0" w14:textId="77777777" w:rsidR="00E76038" w:rsidRDefault="00E7603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106D5" w14:textId="77777777" w:rsidR="00E76038" w:rsidRDefault="007F78B5">
      <w:r>
        <w:separator/>
      </w:r>
    </w:p>
  </w:footnote>
  <w:footnote w:type="continuationSeparator" w:id="0">
    <w:p w14:paraId="448106D6" w14:textId="77777777" w:rsidR="00E76038" w:rsidRDefault="007F7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06D9" w14:textId="77777777" w:rsidR="00E76038" w:rsidRDefault="007F78B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48106DA" w14:textId="77777777" w:rsidR="00E76038" w:rsidRDefault="00E7603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06DB" w14:textId="77777777" w:rsidR="00E76038" w:rsidRDefault="007F78B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448106DC" w14:textId="77777777" w:rsidR="00E76038" w:rsidRDefault="00E7603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06DF" w14:textId="77777777" w:rsidR="00E76038" w:rsidRDefault="00E7603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22"/>
    <w:rsid w:val="004A7522"/>
    <w:rsid w:val="007F78B5"/>
    <w:rsid w:val="00E7603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81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FEF229DA7C6"/>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3915</Words>
  <Characters>2232</Characters>
  <Application>Microsoft Office Word</Application>
  <DocSecurity>0</DocSecurity>
  <Lines>18</Lines>
  <Paragraphs>12</Paragraphs>
  <ScaleCrop>false</ScaleCrop>
  <Company/>
  <LinksUpToDate>false</LinksUpToDate>
  <CharactersWithSpaces>6135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2015-07-05T22:36:00Z</dcterms:created>
  <dc:creator>User</dc:creator>
  <lastModifiedBy>TRAPINSKIENĖ Aušrinė</lastModifiedBy>
  <dcterms:modified xsi:type="dcterms:W3CDTF">2016-01-19T06:20:00Z</dcterms:modified>
  <revision>3</revision>
</coreProperties>
</file>