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PRIDĖTINĖS VERTĖS MOKESČIO ĮSTATYMO 19 STRAIPSNIO PAPILDYMO</w:t>
      </w:r>
    </w:p>
    <w:p>
      <w:pPr>
        <w:jc w:val="center"/>
        <w:rPr>
          <w:b/>
        </w:rPr>
      </w:pPr>
      <w:r>
        <w:rPr>
          <w:b/>
        </w:rPr>
        <w:t>Į S T A T Y M A S</w:t>
      </w:r>
    </w:p>
    <w:p>
      <w:pPr>
        <w:jc w:val="center"/>
      </w:pPr>
    </w:p>
    <w:p>
      <w:pPr>
        <w:jc w:val="center"/>
      </w:pPr>
      <w:r>
        <w:t>2006 m. liepos 19 d. Nr. X-801</w:t>
      </w:r>
    </w:p>
    <w:p>
      <w:pPr>
        <w:jc w:val="center"/>
      </w:pPr>
      <w:r>
        <w:t>Vilnius</w:t>
      </w:r>
    </w:p>
    <w:p>
      <w:pPr>
        <w:jc w:val="center"/>
      </w:pPr>
    </w:p>
    <w:p>
      <w:pPr>
        <w:widowControl w:val="0"/>
        <w:shd w:val="clear" w:color="auto" w:fill="FFFFFF"/>
        <w:jc w:val="center"/>
        <w:rPr>
          <w:color w:val="000000"/>
        </w:rPr>
      </w:pPr>
      <w:r>
        <w:rPr>
          <w:color w:val="000000"/>
        </w:rPr>
        <w:t xml:space="preserve">(Žin., 2002, Nr. </w:t>
      </w:r>
      <w:fldSimple w:instr="HYPERLINK https://www.e-tar.lt/portal/lt/legalAct/TAR.ED68997709F5 \t _blank">
        <w:r>
          <w:rPr>
            <w:color w:val="0000FF" w:themeColor="hyperlink"/>
            <w:u w:val="single"/>
          </w:rPr>
          <w:t>35-1271</w:t>
        </w:r>
      </w:fldSimple>
      <w:r>
        <w:rPr>
          <w:color w:val="000000"/>
        </w:rPr>
        <w:t xml:space="preserve">; 2004, Nr. </w:t>
      </w:r>
      <w:fldSimple w:instr="HYPERLINK https://www.e-tar.lt/portal/lt/legalAct/TAR.AC724525A9B9 \t _blank">
        <w:r>
          <w:rPr>
            <w:color w:val="0000FF" w:themeColor="hyperlink"/>
            <w:u w:val="single"/>
          </w:rPr>
          <w:t>17-505</w:t>
        </w:r>
      </w:fldSimple>
      <w:r>
        <w:rPr>
          <w:color w:val="000000"/>
        </w:rPr>
        <w:t xml:space="preserve">; 2005, Nr. </w:t>
      </w:r>
      <w:fldSimple w:instr="HYPERLINK https://www.e-tar.lt/portal/lt/legalAct/TAR.6D68A160D748 \t _blank">
        <w:r>
          <w:rPr>
            <w:color w:val="0000FF" w:themeColor="hyperlink"/>
            <w:u w:val="single"/>
          </w:rPr>
          <w:t>72-2590</w:t>
        </w:r>
      </w:fldSimple>
      <w:r>
        <w:rPr>
          <w:color w:val="000000"/>
        </w:rPr>
        <w:t xml:space="preserve">; 2006, Nr. </w:t>
      </w:r>
      <w:fldSimple w:instr="HYPERLINK https://www.e-tar.lt/portal/lt/legalAct/TAR.DE9E4EA038CB \t _blank">
        <w:r>
          <w:rPr>
            <w:color w:val="0000FF" w:themeColor="hyperlink"/>
            <w:u w:val="single"/>
          </w:rPr>
          <w:t>6-193</w:t>
        </w:r>
      </w:fldSimple>
      <w:r>
        <w:rPr>
          <w:color w:val="000000"/>
        </w:rPr>
        <w:t>)</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19 straipsnio 3 dalies papildymas</w:t>
      </w:r>
    </w:p>
    <w:p>
      <w:pPr>
        <w:widowControl w:val="0"/>
        <w:shd w:val="clear" w:color="auto" w:fill="FFFFFF"/>
        <w:ind w:firstLine="708"/>
        <w:jc w:val="both"/>
        <w:rPr>
          <w:color w:val="000000"/>
        </w:rPr>
      </w:pPr>
      <w:r>
        <w:rPr>
          <w:color w:val="000000"/>
        </w:rPr>
        <w:t>1</w:t>
      </w:r>
      <w:r>
        <w:rPr>
          <w:color w:val="000000"/>
        </w:rPr>
        <w:t>. 19 straipsnio 3 dalies 10 punkte po žodžio „renginių“ įrašyti žodžius „(įskaitant mugių, parodų, cirko renginius), taip pat muziejų, pramogų parkų, zoologijos sodų“ ir šį punktą išdėstyti taip:</w:t>
      </w:r>
    </w:p>
    <w:p>
      <w:pPr>
        <w:widowControl w:val="0"/>
        <w:shd w:val="clear" w:color="auto" w:fill="FFFFFF"/>
        <w:ind w:firstLine="708"/>
        <w:jc w:val="both"/>
        <w:rPr>
          <w:color w:val="000000"/>
        </w:rPr>
      </w:pPr>
      <w:r>
        <w:rPr>
          <w:color w:val="000000"/>
        </w:rPr>
        <w:t>„</w:t>
      </w:r>
      <w:r>
        <w:rPr>
          <w:color w:val="000000"/>
        </w:rPr>
        <w:t>10</w:t>
      </w:r>
      <w:r>
        <w:rPr>
          <w:color w:val="000000"/>
        </w:rPr>
        <w:t>) visų rūšių meno ir kultūros bei sporto renginių (įskaitant mugių, parodų, cirko renginius), taip pat muziejų, pramogų parkų, zoologijos sodų, kuriems netaikomos šio įstatymo 23 straipsnio nuostatos, lankymui;“.</w:t>
      </w:r>
    </w:p>
    <w:p>
      <w:pPr>
        <w:widowControl w:val="0"/>
        <w:shd w:val="clear" w:color="auto" w:fill="FFFFFF"/>
        <w:ind w:firstLine="708"/>
        <w:jc w:val="both"/>
        <w:rPr>
          <w:color w:val="000000"/>
        </w:rPr>
      </w:pPr>
      <w:r>
        <w:rPr>
          <w:color w:val="000000"/>
        </w:rPr>
        <w:t>2</w:t>
      </w:r>
      <w:r>
        <w:rPr>
          <w:color w:val="000000"/>
        </w:rPr>
        <w:t>. Papildyti 19 straipsnio 3 dalį 11 punktu:</w:t>
      </w:r>
    </w:p>
    <w:p>
      <w:pPr>
        <w:widowControl w:val="0"/>
        <w:shd w:val="clear" w:color="auto" w:fill="FFFFFF"/>
        <w:ind w:firstLine="708"/>
        <w:jc w:val="both"/>
        <w:rPr>
          <w:color w:val="000000"/>
        </w:rPr>
      </w:pPr>
      <w:r>
        <w:rPr>
          <w:color w:val="000000"/>
        </w:rPr>
        <w:t>„</w:t>
      </w:r>
      <w:r>
        <w:rPr>
          <w:color w:val="000000"/>
        </w:rPr>
        <w:t>11</w:t>
      </w:r>
      <w:r>
        <w:rPr>
          <w:color w:val="000000"/>
        </w:rPr>
        <w:t>) rašytojo, kompozitoriaus ar atlikėjo (aktoriaus, dainininko, muzikanto, dirigento, šokėjo ar kito asmens, vaidinančio, dainuojančio, skaitančio, deklamuojančio arba kitaip atliekančio literatūros, meno, folkloro kūrinius ar cirko numerius) teikiamos kūrybos ar atlikimo paslaugos ir paslaugos, už kurias šiems asmenims mokamas honoraras, kaip jis apibrėžtas Lietuvos Respublikos gyventojų pajamų mokesčio įstatyme.“</w:t>
      </w:r>
    </w:p>
    <w:p>
      <w:pPr>
        <w:ind w:firstLine="708"/>
      </w:pPr>
    </w:p>
    <w:p>
      <w:pPr>
        <w:ind w:firstLine="708"/>
        <w:jc w:val="both"/>
        <w:rPr>
          <w:color w:val="000000"/>
        </w:rPr>
      </w:pPr>
    </w:p>
    <w:p>
      <w:pPr>
        <w:widowControl w:val="0"/>
        <w:shd w:val="clear" w:color="auto" w:fill="FFFFFF"/>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1090</Characters>
  <Application>Microsoft Office Word</Application>
  <DocSecurity>4</DocSecurity>
  <Lines>28</Lines>
  <Paragraphs>16</Paragraphs>
  <ScaleCrop>false</ScaleCrop>
  <Company/>
  <LinksUpToDate>false</LinksUpToDate>
  <CharactersWithSpaces>1248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2015-08-27T19:21:00Z</dcterms:created>
  <dc:creator>marina.buivid@gmail.com</dc:creator>
  <lastModifiedBy>Adlib User</lastModifiedBy>
  <dcterms:modified xsi:type="dcterms:W3CDTF">2015-08-27T19:21:00Z</dcterms:modified>
  <revision>2</revision>
</coreProperties>
</file>