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VIEŠŲJŲ IR PRIVAČIŲ INTERESŲ DERINIMO VALSTYBINĖJE TARNYBOJE ĮSTATYMO 2 IR 11 STRAIPSNIŲ PAKEITIMO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2003 m. balandžio 3 d. Nr. IX-1438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fldSimple w:instr="HYPERLINK https://www.e-tar.lt/portal/lt/legalAct/TAR.C0E550D6ADF0 \t _blank">
        <w:r>
          <w:rPr>
            <w:color w:val="0000FF" w:themeColor="hyperlink"/>
            <w:u w:val="single"/>
          </w:rPr>
          <w:t>67-1659</w:t>
        </w:r>
      </w:fldSimple>
      <w:r>
        <w:rPr>
          <w:color w:val="000000"/>
        </w:rPr>
        <w:t xml:space="preserve">; 2000, Nr. </w:t>
      </w:r>
      <w:fldSimple w:instr="HYPERLINK https://www.e-tar.lt/portal/lt/legalAct/TAR.B24AF3538B14 \t _blank">
        <w:r>
          <w:rPr>
            <w:color w:val="0000FF" w:themeColor="hyperlink"/>
            <w:u w:val="single"/>
          </w:rPr>
          <w:t>18-431</w:t>
        </w:r>
      </w:fldSimple>
      <w:r>
        <w:rPr>
          <w:color w:val="000000"/>
        </w:rPr>
        <w:t xml:space="preserve">; 2001, Nr. </w:t>
      </w:r>
      <w:fldSimple w:instr="HYPERLINK https://www.e-tar.lt/portal/lt/legalAct/TAR.932273BC5680 \t _blank">
        <w:r>
          <w:rPr>
            <w:color w:val="0000FF" w:themeColor="hyperlink"/>
            <w:u w:val="single"/>
          </w:rPr>
          <w:t>35-1165</w:t>
        </w:r>
      </w:fldSimple>
      <w:r>
        <w:rPr>
          <w:color w:val="000000"/>
        </w:rPr>
        <w:t xml:space="preserve">, Nr. </w:t>
      </w:r>
      <w:fldSimple w:instr="HYPERLINK https://www.e-tar.lt/portal/lt/legalAct/TAR.1AFC9AF000A6 \t _blank">
        <w:r>
          <w:rPr>
            <w:color w:val="0000FF" w:themeColor="hyperlink"/>
            <w:u w:val="single"/>
          </w:rPr>
          <w:t>71-2517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 straipsnio 5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 straipsnio 5 dalyje vietoj skaičiaus „305“ įrašyti skaičių „248“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Artimieji giminaičiai ir šeimos nariai – asmenys, nurodyti Baudžiamojo kodekso 248 straipsnyje.“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11 straipsnio 6 dalies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11 straipsnio 6 dalyje vietoj žodžių „tardytojams, kvotėjams“ įrašyti žodžius „ikiteisminio tyrimo pareigūnams“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Šio straipsnio nuostatos netaikomos Respublikos Prezidentui, Seimo nariams, teisėjams, prokurorams, ikiteisminio tyrimo pareigūnams ir kitiems pareigūnams, kuriems viešųjų interesų viršenybės užtikrinimo būdai nustatomi jų veiklą reglamentuojančių įstatymų.“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kartu su Lietuvos Respublikos baudžiamuoju kodeksu (Žin., 2000, Nr. </w:t>
      </w:r>
      <w:fldSimple w:instr="HYPERLINK https://www.e-tar.lt/portal/lt/legalAct/TAR.2B866DFF7D43 \t _blank">
        <w:r>
          <w:rPr>
            <w:color w:val="0000FF" w:themeColor="hyperlink"/>
            <w:u w:val="single"/>
          </w:rPr>
          <w:t>89-2741</w:t>
        </w:r>
      </w:fldSimple>
      <w:r>
        <w:rPr>
          <w:color w:val="000000"/>
        </w:rPr>
        <w:t xml:space="preserve">) ir Lietuvos Respublikos baudžiamojo proceso kodeksu (Žin., 2002, Nr. </w:t>
      </w:r>
      <w:fldSimple w:instr="HYPERLINK https://www.e-tar.lt/portal/lt/legalAct/TAR.EC588C321777 \t _blank">
        <w:r>
          <w:rPr>
            <w:color w:val="0000FF" w:themeColor="hyperlink"/>
            <w:u w:val="single"/>
          </w:rPr>
          <w:t>37-1341</w:t>
        </w:r>
      </w:fldSimple>
      <w:r>
        <w:rPr>
          <w:color w:val="000000"/>
        </w:rPr>
        <w:t>).</w:t>
      </w:r>
    </w:p>
    <w:p>
      <w:pPr>
        <w:ind w:firstLine="708"/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  <w:jc w:val="both"/>
        <w:rPr>
          <w:i/>
          <w:color w:val="000000"/>
        </w:rPr>
      </w:pPr>
    </w:p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jc w:val="center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1119</Characters>
  <Application>Microsoft Office Word</Application>
  <DocSecurity>4</DocSecurity>
  <Lines>32</Lines>
  <Paragraphs>19</Paragraphs>
  <ScaleCrop>false</ScaleCrop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2015-09-09T08:16:00Z</dcterms:created>
  <dc:creator>User</dc:creator>
  <lastModifiedBy>Adlib User</lastModifiedBy>
  <dcterms:modified xsi:type="dcterms:W3CDTF">2015-09-09T08:16:00Z</dcterms:modified>
  <revision>2</revision>
</coreProperties>
</file>