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67550" w14:textId="77777777" w:rsidR="004E26CC" w:rsidRDefault="0085264D">
      <w:pPr>
        <w:widowControl w:val="0"/>
        <w:suppressAutoHyphens/>
        <w:jc w:val="center"/>
        <w:rPr>
          <w:color w:val="000000"/>
        </w:rPr>
      </w:pPr>
      <w:r>
        <w:rPr>
          <w:color w:val="000000"/>
          <w:lang w:val="en-US"/>
        </w:rPr>
        <w:pict w14:anchorId="2586756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Valdiklis 2" w:shapeid="_x0000_s1026"/>
        </w:pict>
      </w:r>
      <w:r w:rsidR="00776AE4">
        <w:rPr>
          <w:color w:val="000000"/>
        </w:rPr>
        <w:t>LIETUVOS RESPUBLIKOS TEISINGUMO MINISTRO</w:t>
      </w:r>
    </w:p>
    <w:p w14:paraId="25867551" w14:textId="77777777" w:rsidR="004E26CC" w:rsidRDefault="00776AE4">
      <w:pPr>
        <w:widowControl w:val="0"/>
        <w:suppressAutoHyphens/>
        <w:jc w:val="center"/>
        <w:rPr>
          <w:color w:val="000000"/>
          <w:spacing w:val="60"/>
        </w:rPr>
      </w:pPr>
      <w:r>
        <w:rPr>
          <w:color w:val="000000"/>
          <w:spacing w:val="60"/>
        </w:rPr>
        <w:t>ĮSAKYMAS</w:t>
      </w:r>
    </w:p>
    <w:p w14:paraId="25867552" w14:textId="77777777" w:rsidR="004E26CC" w:rsidRDefault="004E26CC">
      <w:pPr>
        <w:widowControl w:val="0"/>
        <w:suppressAutoHyphens/>
        <w:jc w:val="center"/>
        <w:rPr>
          <w:color w:val="000000"/>
        </w:rPr>
      </w:pPr>
    </w:p>
    <w:p w14:paraId="25867553" w14:textId="77777777" w:rsidR="004E26CC" w:rsidRDefault="00776AE4">
      <w:pPr>
        <w:widowControl w:val="0"/>
        <w:suppressAutoHyphens/>
        <w:jc w:val="center"/>
        <w:rPr>
          <w:b/>
          <w:bCs/>
          <w:caps/>
          <w:color w:val="000000"/>
        </w:rPr>
      </w:pPr>
      <w:r>
        <w:rPr>
          <w:b/>
          <w:bCs/>
          <w:caps/>
          <w:color w:val="000000"/>
        </w:rPr>
        <w:t xml:space="preserve">DĖL TEISINGUMO MINISTRO 1996 M. RUGSĖJO 12 D. ĮSAKYMO nR. 57 „DĖL NOTARŲ IMAMO ATLYGINIMO UŽ NOTARINIŲ VEIKSMŲ ATLIKIMĄ, SANDORIŲ PROJEKTŲ PARENGIMĄ, KONSULTACIJAS IR TECHNINES PASLAUGAS LAIKINŲJŲ DYDŽIŲ PATVIRTINIMO“ PAPILDYMO </w:t>
      </w:r>
    </w:p>
    <w:p w14:paraId="25867554" w14:textId="77777777" w:rsidR="004E26CC" w:rsidRDefault="004E26CC">
      <w:pPr>
        <w:widowControl w:val="0"/>
        <w:suppressAutoHyphens/>
        <w:jc w:val="center"/>
        <w:rPr>
          <w:color w:val="000000"/>
        </w:rPr>
      </w:pPr>
    </w:p>
    <w:p w14:paraId="25867555" w14:textId="77777777" w:rsidR="004E26CC" w:rsidRDefault="00776AE4">
      <w:pPr>
        <w:widowControl w:val="0"/>
        <w:suppressAutoHyphens/>
        <w:jc w:val="center"/>
        <w:rPr>
          <w:color w:val="000000"/>
        </w:rPr>
      </w:pPr>
      <w:r>
        <w:rPr>
          <w:color w:val="000000"/>
        </w:rPr>
        <w:t>2011 m. lapkričio 2 d. Nr. 1R-257</w:t>
      </w:r>
    </w:p>
    <w:p w14:paraId="25867556" w14:textId="77777777" w:rsidR="004E26CC" w:rsidRDefault="00776AE4">
      <w:pPr>
        <w:widowControl w:val="0"/>
        <w:suppressAutoHyphens/>
        <w:jc w:val="center"/>
        <w:rPr>
          <w:color w:val="000000"/>
        </w:rPr>
      </w:pPr>
      <w:r>
        <w:rPr>
          <w:color w:val="000000"/>
        </w:rPr>
        <w:t>Vilnius</w:t>
      </w:r>
    </w:p>
    <w:p w14:paraId="25867557" w14:textId="77777777" w:rsidR="004E26CC" w:rsidRDefault="004E26CC">
      <w:pPr>
        <w:widowControl w:val="0"/>
        <w:suppressAutoHyphens/>
        <w:jc w:val="both"/>
        <w:rPr>
          <w:color w:val="000000"/>
        </w:rPr>
      </w:pPr>
    </w:p>
    <w:p w14:paraId="25867558" w14:textId="77777777" w:rsidR="004E26CC" w:rsidRDefault="00776AE4">
      <w:pPr>
        <w:widowControl w:val="0"/>
        <w:suppressAutoHyphens/>
        <w:ind w:firstLine="567"/>
        <w:jc w:val="both"/>
        <w:rPr>
          <w:color w:val="000000"/>
        </w:rPr>
      </w:pPr>
      <w:r>
        <w:rPr>
          <w:color w:val="000000"/>
          <w:spacing w:val="60"/>
        </w:rPr>
        <w:t>Papildau</w:t>
      </w:r>
      <w:r>
        <w:rPr>
          <w:color w:val="000000"/>
        </w:rPr>
        <w:t xml:space="preserve"> Notarų imamo atlyginimo už notarinių veiksmų atlikimą, sandorių projektų parengimą, konsultacijas ir technines paslaugas laikinuosius dydžius, patvirtintus Lietuvos Respublikos teisingumo ministro 1996 m. rugsėjo 12 d. įsakymu Nr. 57 „Dėl Notarų imamo atlyginimo už notarinių veiksmų atlikimą, sandorių projektų parengimą, konsultacijas ir technines paslaugas laikinųjų dydžių patvirtinimo“ (Žin., 1996, Nr. </w:t>
      </w:r>
      <w:hyperlink r:id="rId10" w:tgtFrame="_blank" w:history="1">
        <w:r>
          <w:rPr>
            <w:color w:val="0000FF" w:themeColor="hyperlink"/>
            <w:u w:val="single"/>
          </w:rPr>
          <w:t>87-2075</w:t>
        </w:r>
      </w:hyperlink>
      <w:r>
        <w:rPr>
          <w:color w:val="000000"/>
        </w:rPr>
        <w:t xml:space="preserve">; 2008, Nr. </w:t>
      </w:r>
      <w:hyperlink r:id="rId11" w:tgtFrame="_blank" w:history="1">
        <w:r>
          <w:rPr>
            <w:color w:val="0000FF" w:themeColor="hyperlink"/>
            <w:u w:val="single"/>
          </w:rPr>
          <w:t>17-590</w:t>
        </w:r>
      </w:hyperlink>
      <w:r>
        <w:rPr>
          <w:color w:val="000000"/>
        </w:rPr>
        <w:t>), šiuo 5.11</w:t>
      </w:r>
      <w:r>
        <w:rPr>
          <w:color w:val="000000"/>
          <w:vertAlign w:val="superscript"/>
        </w:rPr>
        <w:t>1</w:t>
      </w:r>
      <w:r>
        <w:rPr>
          <w:color w:val="000000"/>
        </w:rPr>
        <w:t xml:space="preserve"> punktu:</w:t>
      </w:r>
    </w:p>
    <w:p w14:paraId="25867559" w14:textId="77777777" w:rsidR="004E26CC" w:rsidRDefault="00776AE4">
      <w:pPr>
        <w:widowControl w:val="0"/>
        <w:suppressAutoHyphens/>
        <w:jc w:val="both"/>
        <w:rPr>
          <w:color w:val="000000"/>
        </w:rPr>
      </w:pPr>
      <w:r>
        <w:rPr>
          <w:color w:val="000000"/>
        </w:rPr>
        <w:t>„</w:t>
      </w:r>
    </w:p>
    <w:p w14:paraId="2586755A" w14:textId="77777777" w:rsidR="004E26CC" w:rsidRDefault="0085264D" w:rsidP="0085264D">
      <w:pPr>
        <w:widowControl w:val="0"/>
        <w:tabs>
          <w:tab w:val="left" w:pos="936"/>
          <w:tab w:val="left" w:pos="7088"/>
        </w:tabs>
        <w:suppressAutoHyphens/>
        <w:rPr>
          <w:color w:val="000000"/>
          <w:sz w:val="22"/>
        </w:rPr>
      </w:pPr>
      <w:r w:rsidR="00776AE4">
        <w:rPr>
          <w:color w:val="000000"/>
          <w:sz w:val="22"/>
        </w:rPr>
        <w:t>5.11</w:t>
      </w:r>
      <w:r w:rsidR="00776AE4">
        <w:rPr>
          <w:color w:val="000000"/>
          <w:sz w:val="22"/>
          <w:vertAlign w:val="superscript"/>
        </w:rPr>
        <w:t>1</w:t>
      </w:r>
      <w:r w:rsidR="00776AE4">
        <w:rPr>
          <w:color w:val="000000"/>
          <w:sz w:val="22"/>
        </w:rPr>
        <w:t>.</w:t>
      </w:r>
      <w:r w:rsidR="00776AE4">
        <w:rPr>
          <w:color w:val="000000"/>
          <w:sz w:val="22"/>
          <w:vertAlign w:val="superscript"/>
        </w:rPr>
        <w:t xml:space="preserve"> </w:t>
      </w:r>
      <w:r w:rsidR="00776AE4">
        <w:rPr>
          <w:color w:val="000000"/>
          <w:sz w:val="22"/>
          <w:vertAlign w:val="superscript"/>
        </w:rPr>
        <w:tab/>
      </w:r>
      <w:r w:rsidR="00776AE4">
        <w:rPr>
          <w:color w:val="000000"/>
          <w:sz w:val="22"/>
        </w:rPr>
        <w:t>už vykdomojo pavedimo dėl turto apyrašo sudarymo ar</w:t>
      </w:r>
      <w:r w:rsidR="00776AE4">
        <w:rPr>
          <w:color w:val="000000"/>
          <w:sz w:val="22"/>
        </w:rPr>
        <w:tab/>
        <w:t>10–50 Lt;</w:t>
      </w:r>
    </w:p>
    <w:p w14:paraId="2586755B" w14:textId="1E90E777" w:rsidR="004E26CC" w:rsidRDefault="00776AE4">
      <w:pPr>
        <w:widowControl w:val="0"/>
        <w:tabs>
          <w:tab w:val="left" w:pos="936"/>
          <w:tab w:val="left" w:pos="6218"/>
        </w:tabs>
        <w:suppressAutoHyphens/>
        <w:ind w:firstLine="906"/>
        <w:rPr>
          <w:color w:val="000000"/>
          <w:sz w:val="22"/>
        </w:rPr>
      </w:pPr>
      <w:r>
        <w:rPr>
          <w:color w:val="000000"/>
          <w:sz w:val="22"/>
        </w:rPr>
        <w:t xml:space="preserve">vykdomojo pavedimo papildyti turto </w:t>
      </w:r>
      <w:proofErr w:type="spellStart"/>
      <w:r>
        <w:rPr>
          <w:color w:val="000000"/>
          <w:sz w:val="22"/>
        </w:rPr>
        <w:t>apyrašą</w:t>
      </w:r>
      <w:proofErr w:type="spellEnd"/>
      <w:r>
        <w:rPr>
          <w:color w:val="000000"/>
          <w:sz w:val="22"/>
        </w:rPr>
        <w:t xml:space="preserve"> išdavimą  </w:t>
      </w:r>
      <w:r>
        <w:rPr>
          <w:color w:val="000000"/>
          <w:sz w:val="22"/>
        </w:rPr>
        <w:tab/>
      </w:r>
      <w:r>
        <w:rPr>
          <w:color w:val="000000"/>
          <w:sz w:val="22"/>
          <w:vertAlign w:val="superscript"/>
        </w:rPr>
        <w:t xml:space="preserve"> </w:t>
      </w:r>
      <w:r>
        <w:rPr>
          <w:color w:val="000000"/>
        </w:rPr>
        <w:t>“.</w:t>
      </w:r>
    </w:p>
    <w:p w14:paraId="08198FC2" w14:textId="77777777" w:rsidR="00776AE4" w:rsidRDefault="00776AE4" w:rsidP="00776AE4">
      <w:pPr>
        <w:widowControl w:val="0"/>
        <w:suppressAutoHyphens/>
        <w:rPr>
          <w:caps/>
          <w:color w:val="000000"/>
        </w:rPr>
      </w:pPr>
    </w:p>
    <w:p w14:paraId="198ACB71" w14:textId="77777777" w:rsidR="00776AE4" w:rsidRDefault="00776AE4" w:rsidP="00776AE4">
      <w:pPr>
        <w:widowControl w:val="0"/>
        <w:suppressAutoHyphens/>
        <w:rPr>
          <w:caps/>
          <w:color w:val="000000"/>
        </w:rPr>
      </w:pPr>
      <w:bookmarkStart w:id="0" w:name="_GoBack"/>
      <w:bookmarkEnd w:id="0"/>
    </w:p>
    <w:p w14:paraId="7CAB79E0" w14:textId="77777777" w:rsidR="00776AE4" w:rsidRDefault="00776AE4" w:rsidP="00776AE4">
      <w:pPr>
        <w:widowControl w:val="0"/>
        <w:suppressAutoHyphens/>
        <w:rPr>
          <w:caps/>
          <w:color w:val="000000"/>
        </w:rPr>
      </w:pPr>
    </w:p>
    <w:p w14:paraId="2586755E" w14:textId="57ACC191" w:rsidR="004E26CC" w:rsidRDefault="00776AE4" w:rsidP="00776AE4">
      <w:pPr>
        <w:widowControl w:val="0"/>
        <w:suppressAutoHyphens/>
        <w:rPr>
          <w:caps/>
          <w:color w:val="000000"/>
        </w:rPr>
      </w:pPr>
      <w:r>
        <w:rPr>
          <w:caps/>
          <w:color w:val="000000"/>
        </w:rPr>
        <w:t>Teisingumo ministras</w:t>
      </w:r>
      <w:r>
        <w:rPr>
          <w:caps/>
          <w:color w:val="000000"/>
        </w:rPr>
        <w:tab/>
      </w:r>
      <w:r>
        <w:rPr>
          <w:caps/>
          <w:color w:val="000000"/>
        </w:rPr>
        <w:tab/>
      </w:r>
      <w:r>
        <w:rPr>
          <w:caps/>
          <w:color w:val="000000"/>
        </w:rPr>
        <w:tab/>
      </w:r>
      <w:r>
        <w:rPr>
          <w:caps/>
          <w:color w:val="000000"/>
        </w:rPr>
        <w:tab/>
      </w:r>
      <w:r>
        <w:rPr>
          <w:caps/>
          <w:color w:val="000000"/>
        </w:rPr>
        <w:tab/>
      </w:r>
      <w:r>
        <w:rPr>
          <w:caps/>
          <w:color w:val="000000"/>
        </w:rPr>
        <w:tab/>
        <w:t>Remigijus Šimašius</w:t>
      </w:r>
    </w:p>
    <w:p w14:paraId="2586755F" w14:textId="5B91EC0D" w:rsidR="004E26CC" w:rsidRDefault="004E26CC">
      <w:pPr>
        <w:widowControl w:val="0"/>
        <w:suppressAutoHyphens/>
        <w:jc w:val="both"/>
        <w:rPr>
          <w:color w:val="000000"/>
        </w:rPr>
      </w:pPr>
    </w:p>
    <w:p w14:paraId="25867560" w14:textId="77777777" w:rsidR="004E26CC" w:rsidRDefault="00776AE4">
      <w:pPr>
        <w:widowControl w:val="0"/>
        <w:suppressAutoHyphens/>
        <w:jc w:val="both"/>
        <w:rPr>
          <w:color w:val="000000"/>
        </w:rPr>
      </w:pPr>
      <w:r>
        <w:rPr>
          <w:color w:val="000000"/>
        </w:rPr>
        <w:t>SUDERINTA</w:t>
      </w:r>
    </w:p>
    <w:p w14:paraId="25867561" w14:textId="77777777" w:rsidR="004E26CC" w:rsidRDefault="00776AE4">
      <w:pPr>
        <w:widowControl w:val="0"/>
        <w:suppressAutoHyphens/>
        <w:jc w:val="both"/>
        <w:rPr>
          <w:color w:val="000000"/>
        </w:rPr>
      </w:pPr>
      <w:r>
        <w:rPr>
          <w:color w:val="000000"/>
        </w:rPr>
        <w:t>Lietuvos Respublikos finansų ministras</w:t>
      </w:r>
    </w:p>
    <w:p w14:paraId="25867562" w14:textId="77777777" w:rsidR="004E26CC" w:rsidRDefault="00776AE4">
      <w:pPr>
        <w:widowControl w:val="0"/>
        <w:suppressAutoHyphens/>
        <w:jc w:val="both"/>
        <w:rPr>
          <w:color w:val="000000"/>
        </w:rPr>
      </w:pPr>
      <w:r>
        <w:rPr>
          <w:color w:val="000000"/>
        </w:rPr>
        <w:t>2011 m. spalio 28 d.</w:t>
      </w:r>
    </w:p>
    <w:p w14:paraId="25867563" w14:textId="4C1EFB0C" w:rsidR="004E26CC" w:rsidRDefault="0085264D">
      <w:pPr>
        <w:widowControl w:val="0"/>
        <w:suppressAutoHyphens/>
        <w:jc w:val="both"/>
        <w:rPr>
          <w:color w:val="000000"/>
        </w:rPr>
      </w:pPr>
    </w:p>
    <w:sectPr w:rsidR="004E26CC">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67567" w14:textId="77777777" w:rsidR="004E26CC" w:rsidRDefault="00776AE4">
      <w:r>
        <w:separator/>
      </w:r>
    </w:p>
  </w:endnote>
  <w:endnote w:type="continuationSeparator" w:id="0">
    <w:p w14:paraId="25867568" w14:textId="77777777" w:rsidR="004E26CC" w:rsidRDefault="0077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756B" w14:textId="77777777" w:rsidR="004E26CC" w:rsidRDefault="004E26CC">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756C" w14:textId="77777777" w:rsidR="004E26CC" w:rsidRDefault="004E26CC">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756E" w14:textId="77777777" w:rsidR="004E26CC" w:rsidRDefault="004E26C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67565" w14:textId="77777777" w:rsidR="004E26CC" w:rsidRDefault="00776AE4">
      <w:r>
        <w:separator/>
      </w:r>
    </w:p>
  </w:footnote>
  <w:footnote w:type="continuationSeparator" w:id="0">
    <w:p w14:paraId="25867566" w14:textId="77777777" w:rsidR="004E26CC" w:rsidRDefault="0077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7569" w14:textId="77777777" w:rsidR="004E26CC" w:rsidRDefault="004E26C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756A" w14:textId="77777777" w:rsidR="004E26CC" w:rsidRDefault="004E26C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756D" w14:textId="77777777" w:rsidR="004E26CC" w:rsidRDefault="004E26C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F7"/>
    <w:rsid w:val="004E26CC"/>
    <w:rsid w:val="00776AE4"/>
    <w:rsid w:val="0085264D"/>
    <w:rsid w:val="00AB7AF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8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6A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76A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3FFBD4957A6"/>
  <Relationship Id="rId11" Type="http://schemas.openxmlformats.org/officeDocument/2006/relationships/hyperlink" TargetMode="External" Target="https://www.e-tar.lt/portal/lt/legalAct/TAR.9E34618D737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777</Words>
  <Characters>444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LIETUVOS RESPUBLIKOS TEISINGUMO MINISTRO</vt:lpstr>
    </vt:vector>
  </TitlesOfParts>
  <Company>Teisines informacijos centras</Company>
  <LinksUpToDate>false</LinksUpToDate>
  <CharactersWithSpaces>1219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2015-04-01T11:25:00Z</dcterms:created>
  <dc:creator>Sandra</dc:creator>
  <lastModifiedBy>GUMBYTĖ Danguolė</lastModifiedBy>
  <dcterms:modified xsi:type="dcterms:W3CDTF">2015-04-01T11:44:00Z</dcterms:modified>
  <revision>4</revision>
  <dc:title>LIETUVOS RESPUBLIKOS TEISINGUMO MINISTRO</dc:title>
</coreProperties>
</file>